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8301F" w14:textId="77777777" w:rsidR="00CF7657" w:rsidRDefault="00CF7657" w:rsidP="001823F8">
      <w:pPr>
        <w:rPr>
          <w:rFonts w:ascii="Arial" w:hAnsi="Arial" w:cs="Arial"/>
          <w:sz w:val="24"/>
          <w:szCs w:val="24"/>
        </w:rPr>
      </w:pPr>
      <w:bookmarkStart w:id="0" w:name="_GoBack"/>
      <w:bookmarkEnd w:id="0"/>
      <w:r>
        <w:rPr>
          <w:rFonts w:ascii="Arial" w:hAnsi="Arial" w:cs="Arial"/>
          <w:b/>
          <w:color w:val="2E74B5" w:themeColor="accent1" w:themeShade="BF"/>
          <w:sz w:val="32"/>
          <w:szCs w:val="24"/>
        </w:rPr>
        <w:t>V</w:t>
      </w:r>
      <w:r w:rsidRPr="00CF7657">
        <w:rPr>
          <w:rFonts w:ascii="Arial" w:hAnsi="Arial" w:cs="Arial"/>
          <w:b/>
          <w:color w:val="2E74B5" w:themeColor="accent1" w:themeShade="BF"/>
          <w:sz w:val="32"/>
          <w:szCs w:val="24"/>
        </w:rPr>
        <w:t xml:space="preserve">alor percibido de los clientes del </w:t>
      </w:r>
      <w:r>
        <w:rPr>
          <w:rFonts w:ascii="Arial" w:hAnsi="Arial" w:cs="Arial"/>
          <w:b/>
          <w:color w:val="2E74B5" w:themeColor="accent1" w:themeShade="BF"/>
          <w:sz w:val="32"/>
          <w:szCs w:val="24"/>
        </w:rPr>
        <w:t>sector de seguridad privada en C</w:t>
      </w:r>
      <w:r w:rsidRPr="00CF7657">
        <w:rPr>
          <w:rFonts w:ascii="Arial" w:hAnsi="Arial" w:cs="Arial"/>
          <w:b/>
          <w:color w:val="2E74B5" w:themeColor="accent1" w:themeShade="BF"/>
          <w:sz w:val="32"/>
          <w:szCs w:val="24"/>
        </w:rPr>
        <w:t>olombia</w:t>
      </w:r>
      <w:r w:rsidRPr="00D738E8">
        <w:rPr>
          <w:rFonts w:ascii="Arial" w:hAnsi="Arial" w:cs="Arial"/>
          <w:b/>
          <w:sz w:val="24"/>
          <w:szCs w:val="24"/>
        </w:rPr>
        <w:t xml:space="preserve"> </w:t>
      </w:r>
      <w:r w:rsidR="00D738E8" w:rsidRPr="00D738E8">
        <w:rPr>
          <w:rFonts w:ascii="Arial" w:hAnsi="Arial" w:cs="Arial"/>
          <w:b/>
          <w:sz w:val="24"/>
          <w:szCs w:val="24"/>
        </w:rPr>
        <w:br/>
      </w:r>
      <w:r w:rsidR="00B85835">
        <w:rPr>
          <w:rFonts w:ascii="Arial" w:hAnsi="Arial" w:cs="Arial"/>
          <w:sz w:val="24"/>
          <w:szCs w:val="24"/>
        </w:rPr>
        <w:t xml:space="preserve">Anteproyecto </w:t>
      </w:r>
    </w:p>
    <w:p w14:paraId="1DCACE36" w14:textId="7DE4427F" w:rsidR="00BC61CE" w:rsidRDefault="00D738E8" w:rsidP="001823F8">
      <w:pPr>
        <w:rPr>
          <w:rFonts w:ascii="Arial" w:hAnsi="Arial" w:cs="Arial"/>
          <w:color w:val="2E74B5" w:themeColor="accent1" w:themeShade="BF"/>
          <w:sz w:val="24"/>
          <w:szCs w:val="24"/>
        </w:rPr>
      </w:pPr>
      <w:r w:rsidRPr="00D738E8">
        <w:rPr>
          <w:rFonts w:ascii="Arial" w:hAnsi="Arial" w:cs="Arial"/>
          <w:sz w:val="24"/>
          <w:szCs w:val="24"/>
        </w:rPr>
        <w:br/>
        <w:t xml:space="preserve">Línea de profundización: </w:t>
      </w:r>
      <w:r w:rsidR="00BC61CE" w:rsidRPr="00BC61CE">
        <w:rPr>
          <w:rFonts w:ascii="Arial" w:hAnsi="Arial" w:cs="Arial"/>
          <w:color w:val="2E74B5" w:themeColor="accent1" w:themeShade="BF"/>
          <w:sz w:val="24"/>
          <w:szCs w:val="24"/>
        </w:rPr>
        <w:t xml:space="preserve">Gestión y </w:t>
      </w:r>
      <w:r w:rsidR="00B66EDB">
        <w:rPr>
          <w:rFonts w:ascii="Arial" w:hAnsi="Arial" w:cs="Arial"/>
          <w:color w:val="2E74B5" w:themeColor="accent1" w:themeShade="BF"/>
          <w:sz w:val="24"/>
          <w:szCs w:val="24"/>
        </w:rPr>
        <w:t>M</w:t>
      </w:r>
      <w:r w:rsidR="00BC61CE" w:rsidRPr="00BC61CE">
        <w:rPr>
          <w:rFonts w:ascii="Arial" w:hAnsi="Arial" w:cs="Arial"/>
          <w:color w:val="2E74B5" w:themeColor="accent1" w:themeShade="BF"/>
          <w:sz w:val="24"/>
          <w:szCs w:val="24"/>
        </w:rPr>
        <w:t xml:space="preserve">ercadeo de </w:t>
      </w:r>
      <w:r w:rsidR="00B66EDB">
        <w:rPr>
          <w:rFonts w:ascii="Arial" w:hAnsi="Arial" w:cs="Arial"/>
          <w:color w:val="2E74B5" w:themeColor="accent1" w:themeShade="BF"/>
          <w:sz w:val="24"/>
          <w:szCs w:val="24"/>
        </w:rPr>
        <w:t>S</w:t>
      </w:r>
      <w:r w:rsidR="00BC61CE" w:rsidRPr="00BC61CE">
        <w:rPr>
          <w:rFonts w:ascii="Arial" w:hAnsi="Arial" w:cs="Arial"/>
          <w:color w:val="2E74B5" w:themeColor="accent1" w:themeShade="BF"/>
          <w:sz w:val="24"/>
          <w:szCs w:val="24"/>
        </w:rPr>
        <w:t>ervicios</w:t>
      </w:r>
    </w:p>
    <w:p w14:paraId="0855A2E5" w14:textId="77777777" w:rsidR="0087423F" w:rsidRDefault="008B24E5" w:rsidP="001823F8">
      <w:pPr>
        <w:rPr>
          <w:rFonts w:ascii="Arial" w:hAnsi="Arial" w:cs="Arial"/>
          <w:sz w:val="24"/>
          <w:szCs w:val="24"/>
        </w:rPr>
      </w:pPr>
      <w:r w:rsidRPr="008B24E5">
        <w:rPr>
          <w:rFonts w:ascii="Arial" w:hAnsi="Arial" w:cs="Arial"/>
          <w:sz w:val="24"/>
          <w:szCs w:val="24"/>
        </w:rPr>
        <w:t>Grupo de Investigación Mercadeo I+2</w:t>
      </w:r>
      <w:r w:rsidR="00D738E8" w:rsidRPr="00D738E8">
        <w:rPr>
          <w:rFonts w:ascii="Arial" w:hAnsi="Arial" w:cs="Arial"/>
          <w:b/>
          <w:sz w:val="24"/>
          <w:szCs w:val="24"/>
        </w:rPr>
        <w:br/>
      </w:r>
      <w:r w:rsidR="00D738E8" w:rsidRPr="00D738E8">
        <w:rPr>
          <w:rFonts w:ascii="Arial" w:hAnsi="Arial" w:cs="Arial"/>
          <w:b/>
          <w:sz w:val="24"/>
          <w:szCs w:val="24"/>
        </w:rPr>
        <w:br/>
      </w:r>
      <w:r w:rsidR="00BC61CE">
        <w:rPr>
          <w:rFonts w:ascii="Arial" w:hAnsi="Arial" w:cs="Arial"/>
          <w:b/>
          <w:color w:val="2E74B5" w:themeColor="accent1" w:themeShade="BF"/>
          <w:sz w:val="28"/>
          <w:szCs w:val="24"/>
        </w:rPr>
        <w:t>Claudia Giobanna Nova Villarraga (1520020287</w:t>
      </w:r>
      <w:r w:rsidR="001823F8" w:rsidRPr="0034019F">
        <w:rPr>
          <w:rFonts w:ascii="Arial" w:hAnsi="Arial" w:cs="Arial"/>
          <w:b/>
          <w:color w:val="2E74B5" w:themeColor="accent1" w:themeShade="BF"/>
          <w:sz w:val="28"/>
          <w:szCs w:val="24"/>
        </w:rPr>
        <w:t>)</w:t>
      </w:r>
      <w:r w:rsidR="001823F8" w:rsidRPr="00D738E8">
        <w:rPr>
          <w:rFonts w:ascii="Arial" w:hAnsi="Arial" w:cs="Arial"/>
          <w:b/>
          <w:sz w:val="24"/>
          <w:szCs w:val="24"/>
        </w:rPr>
        <w:t xml:space="preserve"> </w:t>
      </w:r>
      <w:r w:rsidR="001823F8" w:rsidRPr="00D738E8">
        <w:rPr>
          <w:rFonts w:ascii="Arial" w:hAnsi="Arial" w:cs="Arial"/>
          <w:b/>
          <w:sz w:val="24"/>
          <w:szCs w:val="24"/>
        </w:rPr>
        <w:br/>
      </w:r>
    </w:p>
    <w:p w14:paraId="5856E449" w14:textId="77777777" w:rsidR="0087423F" w:rsidRDefault="001823F8" w:rsidP="001823F8">
      <w:pPr>
        <w:rPr>
          <w:rFonts w:ascii="Arial" w:hAnsi="Arial" w:cs="Arial"/>
          <w:color w:val="2E74B5" w:themeColor="accent1" w:themeShade="BF"/>
          <w:sz w:val="24"/>
          <w:szCs w:val="24"/>
        </w:rPr>
      </w:pPr>
      <w:r w:rsidRPr="00D738E8">
        <w:rPr>
          <w:rFonts w:ascii="Arial" w:hAnsi="Arial" w:cs="Arial"/>
          <w:sz w:val="24"/>
          <w:szCs w:val="24"/>
        </w:rPr>
        <w:t xml:space="preserve">Asesor temático: </w:t>
      </w:r>
      <w:r w:rsidR="0087423F" w:rsidRPr="0087423F">
        <w:rPr>
          <w:rFonts w:ascii="Arial" w:hAnsi="Arial" w:cs="Arial"/>
          <w:color w:val="2E74B5" w:themeColor="accent1" w:themeShade="BF"/>
          <w:sz w:val="24"/>
          <w:szCs w:val="24"/>
        </w:rPr>
        <w:t>S</w:t>
      </w:r>
      <w:r w:rsidR="0087423F">
        <w:rPr>
          <w:rFonts w:ascii="Arial" w:hAnsi="Arial" w:cs="Arial"/>
          <w:color w:val="2E74B5" w:themeColor="accent1" w:themeShade="BF"/>
          <w:sz w:val="24"/>
          <w:szCs w:val="24"/>
        </w:rPr>
        <w:t xml:space="preserve">andra Patricia Rojas Berrio </w:t>
      </w:r>
      <w:r w:rsidR="0087423F" w:rsidRPr="0087423F">
        <w:rPr>
          <w:rFonts w:ascii="Arial" w:hAnsi="Arial" w:cs="Arial"/>
          <w:color w:val="2E74B5" w:themeColor="accent1" w:themeShade="BF"/>
          <w:sz w:val="24"/>
          <w:szCs w:val="24"/>
        </w:rPr>
        <w:t>MSc.</w:t>
      </w:r>
      <w:r w:rsidR="0087423F">
        <w:rPr>
          <w:rFonts w:ascii="Arial" w:hAnsi="Arial" w:cs="Arial"/>
          <w:sz w:val="24"/>
          <w:szCs w:val="24"/>
        </w:rPr>
        <w:t xml:space="preserve"> </w:t>
      </w:r>
    </w:p>
    <w:p w14:paraId="1880AE19" w14:textId="77777777" w:rsidR="001823F8" w:rsidRPr="00D738E8" w:rsidRDefault="001823F8" w:rsidP="001823F8">
      <w:pPr>
        <w:rPr>
          <w:rFonts w:ascii="Arial" w:hAnsi="Arial" w:cs="Arial"/>
          <w:b/>
          <w:color w:val="2E74B5" w:themeColor="accent1" w:themeShade="BF"/>
          <w:sz w:val="24"/>
          <w:szCs w:val="24"/>
        </w:rPr>
      </w:pPr>
      <w:r w:rsidRPr="00D738E8">
        <w:rPr>
          <w:rFonts w:ascii="Arial" w:hAnsi="Arial" w:cs="Arial"/>
          <w:sz w:val="24"/>
          <w:szCs w:val="24"/>
        </w:rPr>
        <w:t>Supervisor metodológico:</w:t>
      </w:r>
      <w:r w:rsidRPr="00D738E8">
        <w:rPr>
          <w:rFonts w:ascii="Arial" w:hAnsi="Arial" w:cs="Arial"/>
          <w:color w:val="2E74B5" w:themeColor="accent1" w:themeShade="BF"/>
          <w:sz w:val="24"/>
          <w:szCs w:val="24"/>
        </w:rPr>
        <w:t xml:space="preserve"> </w:t>
      </w:r>
      <w:r w:rsidR="0087423F">
        <w:rPr>
          <w:rFonts w:ascii="Arial" w:hAnsi="Arial" w:cs="Arial"/>
          <w:color w:val="2E74B5" w:themeColor="accent1" w:themeShade="BF"/>
          <w:sz w:val="24"/>
          <w:szCs w:val="24"/>
        </w:rPr>
        <w:t>Oscar Javier Robayo P</w:t>
      </w:r>
      <w:r w:rsidR="0087423F" w:rsidRPr="0087423F">
        <w:rPr>
          <w:rFonts w:ascii="Arial" w:hAnsi="Arial" w:cs="Arial"/>
          <w:color w:val="2E74B5" w:themeColor="accent1" w:themeShade="BF"/>
          <w:sz w:val="24"/>
          <w:szCs w:val="24"/>
        </w:rPr>
        <w:t>inzón MSc.</w:t>
      </w:r>
    </w:p>
    <w:p w14:paraId="1BA3A5F0" w14:textId="77777777" w:rsidR="00D738E8" w:rsidRPr="00D738E8" w:rsidRDefault="00D738E8" w:rsidP="00D738E8">
      <w:pPr>
        <w:rPr>
          <w:rFonts w:ascii="Arial" w:hAnsi="Arial" w:cs="Arial"/>
          <w:b/>
          <w:color w:val="2E74B5" w:themeColor="accent1" w:themeShade="BF"/>
          <w:sz w:val="24"/>
          <w:szCs w:val="24"/>
        </w:rPr>
      </w:pPr>
    </w:p>
    <w:p w14:paraId="7021AC25" w14:textId="1CAA9BCA" w:rsidR="00D738E8" w:rsidRPr="00D738E8" w:rsidRDefault="00BE071D" w:rsidP="00D738E8">
      <w:pPr>
        <w:rPr>
          <w:rFonts w:ascii="Arial" w:hAnsi="Arial" w:cs="Arial"/>
          <w:i/>
          <w:color w:val="2E74B5" w:themeColor="accent1" w:themeShade="BF"/>
          <w:sz w:val="24"/>
          <w:szCs w:val="24"/>
        </w:rPr>
      </w:pPr>
      <w:r>
        <w:rPr>
          <w:rFonts w:ascii="Arial" w:hAnsi="Arial" w:cs="Arial"/>
          <w:i/>
          <w:color w:val="2E74B5" w:themeColor="accent1" w:themeShade="BF"/>
          <w:sz w:val="24"/>
          <w:szCs w:val="24"/>
        </w:rPr>
        <w:t>Octubre</w:t>
      </w:r>
      <w:r w:rsidR="0087423F">
        <w:rPr>
          <w:rFonts w:ascii="Arial" w:hAnsi="Arial" w:cs="Arial"/>
          <w:i/>
          <w:color w:val="2E74B5" w:themeColor="accent1" w:themeShade="BF"/>
          <w:sz w:val="24"/>
          <w:szCs w:val="24"/>
        </w:rPr>
        <w:t xml:space="preserve"> 2016</w:t>
      </w:r>
    </w:p>
    <w:p w14:paraId="56D5FDFA"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6A7D4772" w14:textId="77777777" w:rsidR="00D738E8" w:rsidRPr="00D738E8" w:rsidRDefault="00D738E8" w:rsidP="00D738E8">
      <w:pPr>
        <w:spacing w:line="240" w:lineRule="auto"/>
        <w:rPr>
          <w:rFonts w:ascii="Arial" w:hAnsi="Arial" w:cs="Arial"/>
          <w:b/>
          <w:sz w:val="24"/>
          <w:szCs w:val="24"/>
        </w:rPr>
      </w:pPr>
      <w:r w:rsidRPr="00D738E8">
        <w:rPr>
          <w:rFonts w:ascii="Arial" w:hAnsi="Arial" w:cs="Arial"/>
          <w:b/>
          <w:sz w:val="24"/>
          <w:szCs w:val="24"/>
        </w:rPr>
        <w:t xml:space="preserve">Resumen </w:t>
      </w:r>
    </w:p>
    <w:p w14:paraId="632AC245" w14:textId="22686A27" w:rsid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Este trabajo se realiza con el propósito de identificar el valor percibido por parte de clientes del sector de seguridad privada en Colombia</w:t>
      </w:r>
      <w:r w:rsidR="00865EBE">
        <w:rPr>
          <w:rFonts w:ascii="Arial" w:hAnsi="Arial" w:cs="Arial"/>
          <w:color w:val="2E74B5" w:themeColor="accent1" w:themeShade="BF"/>
          <w:sz w:val="24"/>
          <w:szCs w:val="24"/>
        </w:rPr>
        <w:t>, específicamente los clientes de vigilancia humana y transporte de valores</w:t>
      </w:r>
      <w:r w:rsidR="005C56F9">
        <w:rPr>
          <w:rFonts w:ascii="Arial" w:hAnsi="Arial" w:cs="Arial"/>
          <w:color w:val="2E74B5" w:themeColor="accent1" w:themeShade="BF"/>
          <w:sz w:val="24"/>
          <w:szCs w:val="24"/>
        </w:rPr>
        <w:t>.</w:t>
      </w:r>
      <w:r w:rsidRPr="00093A89">
        <w:rPr>
          <w:rFonts w:ascii="Arial" w:hAnsi="Arial" w:cs="Arial"/>
          <w:color w:val="2E74B5" w:themeColor="accent1" w:themeShade="BF"/>
          <w:sz w:val="24"/>
          <w:szCs w:val="24"/>
        </w:rPr>
        <w:t xml:space="preserve"> El abordaje de la anterior problemática surge de la carencia de estudios en este sector respecto a valor percibido y por ende de validaciones empíricas de la escala PERVAL </w:t>
      </w:r>
      <w:r w:rsidRPr="00093A89">
        <w:rPr>
          <w:rFonts w:ascii="Arial" w:hAnsi="Arial" w:cs="Arial"/>
          <w:i/>
          <w:color w:val="2E74B5" w:themeColor="accent1" w:themeShade="BF"/>
          <w:sz w:val="24"/>
          <w:szCs w:val="24"/>
        </w:rPr>
        <w:fldChar w:fldCharType="begin" w:fldLock="1"/>
      </w:r>
      <w:r w:rsidR="00431BA7">
        <w:rPr>
          <w:rFonts w:ascii="Arial" w:hAnsi="Arial" w:cs="Arial"/>
          <w:i/>
          <w:color w:val="2E74B5" w:themeColor="accent1" w:themeShade="BF"/>
          <w:sz w:val="24"/>
          <w:szCs w:val="24"/>
        </w:rPr>
        <w:instrText>ADDIN CSL_CITATION { "citationItems" : [ { "id" : "ITEM-1", "itemData" : { "DOI" : "10.1016/S0022-4359(01)00041-0", "abstract" : "Value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 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 \u00a9 2001 by New York University. All rights reserved.", "author" : [ { "dropping-particle" : "", "family" : "Sweeney", "given" : "J C", "non-dropping-particle" : "", "parse-names" : false, "suffix" : "" }, { "dropping-particle" : "", "family" : "Soutar", "given" : "G N", "non-dropping-particle" : "", "parse-names" : false, "suffix" : "" } ], "container-title" : "Journal of Retailing", "id" : "ITEM-1", "issue" : "2", "issued" : { "date-parts" : [ [ "2001" ] ] }, "note" : "Cited By :826\n\nExport Date: 3 September 2015", "page" : "203-220", "title" : "Consumer perceived value: The development of a multiple item scale", "type" : "article-journal", "volume" : "77" }, "uris" : [ "http://www.mendeley.com/documents/?uuid=8d341a46-8ba2-4038-b14c-7bd526623cbd", "http://www.mendeley.com/documents/?uuid=f134dc98-a58a-43cc-8b62-3ed3115fc815" ] } ], "mendeley" : { "formattedCitation" : "(Sweeney &amp; Soutar, 2001)", "plainTextFormattedCitation" : "(Sweeney &amp; Soutar, 2001)", "previouslyFormattedCitation" : "(Sweeney &amp; Soutar, 2001)"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093A89">
        <w:rPr>
          <w:rFonts w:ascii="Arial" w:hAnsi="Arial" w:cs="Arial"/>
          <w:noProof/>
          <w:color w:val="2E74B5" w:themeColor="accent1" w:themeShade="BF"/>
          <w:sz w:val="24"/>
          <w:szCs w:val="24"/>
        </w:rPr>
        <w:t>(Sweeney &amp; Soutar, 2001)</w:t>
      </w:r>
      <w:r w:rsidRPr="00093A89">
        <w:rPr>
          <w:rFonts w:ascii="Arial" w:hAnsi="Arial" w:cs="Arial"/>
          <w:i/>
          <w:color w:val="2E74B5" w:themeColor="accent1" w:themeShade="BF"/>
          <w:sz w:val="24"/>
          <w:szCs w:val="24"/>
        </w:rPr>
        <w:fldChar w:fldCharType="end"/>
      </w:r>
      <w:r w:rsidR="00865EBE">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lo anterior se identificó por medio de una Revisión Sistemática de Literatura en </w:t>
      </w:r>
      <w:r w:rsidR="00B66EDB">
        <w:rPr>
          <w:rFonts w:ascii="Arial" w:hAnsi="Arial" w:cs="Arial"/>
          <w:color w:val="2E74B5" w:themeColor="accent1" w:themeShade="BF"/>
          <w:sz w:val="24"/>
          <w:szCs w:val="24"/>
        </w:rPr>
        <w:t>bases de datos científicas</w:t>
      </w:r>
      <w:r w:rsidRPr="00093A89">
        <w:rPr>
          <w:rFonts w:ascii="Arial" w:hAnsi="Arial" w:cs="Arial"/>
          <w:color w:val="2E74B5" w:themeColor="accent1" w:themeShade="BF"/>
          <w:sz w:val="24"/>
          <w:szCs w:val="24"/>
        </w:rPr>
        <w:t>, con una ecuación de búsqueda con las palabras clave customer value, value creation, business to business, security services, security industry, en la ventana de observación 2005 - 2015</w:t>
      </w:r>
      <w:r w:rsidR="00865EBE">
        <w:rPr>
          <w:rFonts w:ascii="Arial" w:hAnsi="Arial" w:cs="Arial"/>
          <w:color w:val="2E74B5" w:themeColor="accent1" w:themeShade="BF"/>
          <w:sz w:val="24"/>
          <w:szCs w:val="24"/>
        </w:rPr>
        <w:t>.</w:t>
      </w:r>
    </w:p>
    <w:p w14:paraId="0E603F5D" w14:textId="638D2FEB" w:rsidR="00865EBE" w:rsidRPr="00093A89" w:rsidRDefault="00151D28" w:rsidP="00093A89">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Con un enfoque exploratorio, debido a la escasez de estudios previos acerca del tema, y a través del método fenomenológico se quiere examinar la realidad vivida e interpretada por los clientes de estos servicios. </w:t>
      </w:r>
      <w:r w:rsidR="00076663" w:rsidRPr="00076663">
        <w:rPr>
          <w:rFonts w:ascii="Arial" w:hAnsi="Arial" w:cs="Arial"/>
          <w:color w:val="2E74B5" w:themeColor="accent1" w:themeShade="BF"/>
          <w:sz w:val="24"/>
          <w:szCs w:val="24"/>
        </w:rPr>
        <w:t xml:space="preserve">El diseño muestral para llevar a cabo esta investigación es no probabilistico por conveniencia debido a que existe alta posibilidad de acceso a clientes actuales del servicio. </w:t>
      </w:r>
    </w:p>
    <w:p w14:paraId="7A6BB372" w14:textId="3A7442EE" w:rsidR="00D738E8" w:rsidRPr="00D738E8" w:rsidRDefault="00D738E8" w:rsidP="00D738E8">
      <w:pPr>
        <w:jc w:val="both"/>
        <w:rPr>
          <w:rFonts w:ascii="Arial" w:hAnsi="Arial" w:cs="Arial"/>
          <w:color w:val="70AD47" w:themeColor="accent6"/>
          <w:sz w:val="24"/>
          <w:szCs w:val="24"/>
        </w:rPr>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r w:rsidR="00E83EA5" w:rsidRPr="00E83EA5">
        <w:rPr>
          <w:rFonts w:ascii="Arial" w:hAnsi="Arial" w:cs="Arial"/>
          <w:color w:val="2E74B5" w:themeColor="accent1" w:themeShade="BF"/>
          <w:sz w:val="24"/>
          <w:szCs w:val="24"/>
        </w:rPr>
        <w:t>Servicios de seguridad; Valor Percibido; PERVAL;</w:t>
      </w:r>
      <w:r w:rsidR="005C56F9">
        <w:rPr>
          <w:rFonts w:ascii="Arial" w:hAnsi="Arial" w:cs="Arial"/>
          <w:color w:val="2E74B5" w:themeColor="accent1" w:themeShade="BF"/>
          <w:sz w:val="24"/>
          <w:szCs w:val="24"/>
        </w:rPr>
        <w:t xml:space="preserve"> mercadeo de servicios.</w:t>
      </w:r>
    </w:p>
    <w:p w14:paraId="5FFA0325" w14:textId="77777777" w:rsidR="00151D28" w:rsidRDefault="00151D28" w:rsidP="00D738E8">
      <w:pPr>
        <w:spacing w:line="240" w:lineRule="auto"/>
        <w:rPr>
          <w:rFonts w:ascii="Arial" w:hAnsi="Arial" w:cs="Arial"/>
          <w:b/>
          <w:sz w:val="24"/>
          <w:szCs w:val="24"/>
        </w:rPr>
      </w:pPr>
    </w:p>
    <w:p w14:paraId="15577CF5" w14:textId="77777777" w:rsidR="00151D28" w:rsidRDefault="00151D28" w:rsidP="00D738E8">
      <w:pPr>
        <w:spacing w:line="240" w:lineRule="auto"/>
        <w:rPr>
          <w:rFonts w:ascii="Arial" w:hAnsi="Arial" w:cs="Arial"/>
          <w:b/>
          <w:sz w:val="24"/>
          <w:szCs w:val="24"/>
        </w:rPr>
      </w:pPr>
    </w:p>
    <w:p w14:paraId="0083EBCF" w14:textId="1684D834" w:rsidR="00151D28" w:rsidRPr="00774EB3" w:rsidRDefault="00D738E8" w:rsidP="00151D28">
      <w:pPr>
        <w:spacing w:line="240" w:lineRule="auto"/>
        <w:rPr>
          <w:rFonts w:ascii="Arial" w:hAnsi="Arial" w:cs="Arial"/>
          <w:b/>
          <w:color w:val="70AD47" w:themeColor="accent6"/>
          <w:sz w:val="24"/>
          <w:szCs w:val="24"/>
        </w:rPr>
      </w:pPr>
      <w:r>
        <w:rPr>
          <w:rFonts w:ascii="Arial" w:hAnsi="Arial" w:cs="Arial"/>
          <w:b/>
          <w:sz w:val="24"/>
          <w:szCs w:val="24"/>
        </w:rPr>
        <w:t>____________</w:t>
      </w:r>
    </w:p>
    <w:p w14:paraId="689E162B" w14:textId="77777777" w:rsidR="00EA06C3" w:rsidRDefault="00EA06C3" w:rsidP="000C7A71">
      <w:pPr>
        <w:rPr>
          <w:rFonts w:ascii="Arial" w:hAnsi="Arial" w:cs="Arial"/>
          <w:b/>
          <w:sz w:val="24"/>
          <w:szCs w:val="24"/>
        </w:rPr>
      </w:pPr>
      <w:r w:rsidRPr="00774EB3">
        <w:rPr>
          <w:rFonts w:ascii="Arial" w:hAnsi="Arial" w:cs="Arial"/>
          <w:b/>
          <w:sz w:val="24"/>
          <w:szCs w:val="24"/>
        </w:rPr>
        <w:lastRenderedPageBreak/>
        <w:t>INTRODUCCIÓN</w:t>
      </w:r>
    </w:p>
    <w:p w14:paraId="13C55920" w14:textId="28D07072" w:rsidR="00093A89" w:rsidRP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En Colombia el sector de seguridad privada es atendido por empresas locales, que se dedican principalmente al servicio de guardas, y por empresas multinacionales que ofrecen un amplio portafolio de servicios de seguridad. A su vez,</w:t>
      </w:r>
      <w:r w:rsidR="00E073A6">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el sector </w:t>
      </w:r>
      <w:r w:rsidR="00B66EDB">
        <w:rPr>
          <w:rFonts w:ascii="Arial" w:hAnsi="Arial" w:cs="Arial"/>
          <w:color w:val="2E74B5" w:themeColor="accent1" w:themeShade="BF"/>
          <w:sz w:val="24"/>
          <w:szCs w:val="24"/>
        </w:rPr>
        <w:t xml:space="preserve">es vigilado por </w:t>
      </w:r>
      <w:r w:rsidR="00B66EDB" w:rsidRPr="00093A89">
        <w:rPr>
          <w:rFonts w:ascii="Arial" w:hAnsi="Arial" w:cs="Arial"/>
          <w:color w:val="2E74B5" w:themeColor="accent1" w:themeShade="BF"/>
          <w:sz w:val="24"/>
          <w:szCs w:val="24"/>
        </w:rPr>
        <w:t>la Superintendencia de Vigilancia y Seguridad Privada – en adelante SVSP –</w:t>
      </w:r>
      <w:r w:rsidR="00B66EDB">
        <w:rPr>
          <w:rFonts w:ascii="Arial" w:hAnsi="Arial" w:cs="Arial"/>
          <w:color w:val="2E74B5" w:themeColor="accent1" w:themeShade="BF"/>
          <w:sz w:val="24"/>
          <w:szCs w:val="24"/>
        </w:rPr>
        <w:t xml:space="preserve"> y </w:t>
      </w:r>
      <w:r w:rsidRPr="00093A89">
        <w:rPr>
          <w:rFonts w:ascii="Arial" w:hAnsi="Arial" w:cs="Arial"/>
          <w:color w:val="2E74B5" w:themeColor="accent1" w:themeShade="BF"/>
          <w:sz w:val="24"/>
          <w:szCs w:val="24"/>
        </w:rPr>
        <w:t xml:space="preserve">tiene ingresos de $6.7 billones de pesos anuales </w:t>
      </w:r>
      <w:r w:rsidRPr="00093A89">
        <w:rPr>
          <w:rFonts w:ascii="Arial" w:hAnsi="Arial" w:cs="Arial"/>
          <w:color w:val="2E74B5" w:themeColor="accent1" w:themeShade="BF"/>
          <w:sz w:val="24"/>
          <w:szCs w:val="24"/>
        </w:rPr>
        <w:fldChar w:fldCharType="begin" w:fldLock="1"/>
      </w:r>
      <w:r w:rsidR="00431BA7">
        <w:rPr>
          <w:rFonts w:ascii="Arial" w:hAnsi="Arial" w:cs="Arial"/>
          <w:color w:val="2E74B5" w:themeColor="accent1" w:themeShade="BF"/>
          <w:sz w:val="24"/>
          <w:szCs w:val="24"/>
        </w:rPr>
        <w:instrText>ADDIN CSL_CITATION { "citationItems" : [ { "id" : "ITEM-1", "itemData" : { "author" : [ { "dropping-particle" : "", "family" : "Pinz\u00f3n", "given" : "Juan Carlos", "non-dropping-particle" : "", "parse-names" : false, "suffix" : "" }, { "dropping-particle" : "", "family" : "Lozano", "given" : "Fernando", "non-dropping-particle" : "", "parse-names" : false, "suffix" : "" } ], "id" : "ITEM-1", "issued" : { "date-parts" : [ [ "2014" ] ] }, "title" : "El Sector de Vigilancia y Seguridad Privada en Colombia : estad\u00edsticas y percepci\u00f3n .", "type" : "article-journal" }, "uris" : [ "http://www.mendeley.com/documents/?uuid=790ec14d-9984-44ce-8933-fc7b22756891" ] } ], "mendeley" : { "formattedCitation" : "(Pinz\u00f3n &amp; Lozano, 2014)", "plainTextFormattedCitation" : "(Pinz\u00f3n &amp; Lozano, 2014)", "previouslyFormattedCitation" : "(Pinz\u00f3n &amp; Lozano, 2014)"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(Pinzón &amp; Lozano, 2014)</w:t>
      </w:r>
      <w:r w:rsidRPr="00093A89">
        <w:rPr>
          <w:rFonts w:ascii="Arial" w:hAnsi="Arial" w:cs="Arial"/>
          <w:color w:val="2E74B5" w:themeColor="accent1" w:themeShade="BF"/>
          <w:sz w:val="24"/>
          <w:szCs w:val="24"/>
        </w:rPr>
        <w:fldChar w:fldCharType="end"/>
      </w:r>
      <w:r w:rsidR="00B66EDB">
        <w:rPr>
          <w:rFonts w:ascii="Arial" w:hAnsi="Arial" w:cs="Arial"/>
          <w:color w:val="2E74B5" w:themeColor="accent1" w:themeShade="BF"/>
          <w:sz w:val="24"/>
          <w:szCs w:val="24"/>
        </w:rPr>
        <w:t xml:space="preserve"> que significan el </w:t>
      </w:r>
      <w:r w:rsidR="003347DF">
        <w:rPr>
          <w:rFonts w:ascii="Arial" w:hAnsi="Arial" w:cs="Arial"/>
          <w:color w:val="2E74B5" w:themeColor="accent1" w:themeShade="BF"/>
          <w:sz w:val="24"/>
          <w:szCs w:val="24"/>
        </w:rPr>
        <w:t>1,6</w:t>
      </w:r>
      <w:r w:rsidR="00B66EDB">
        <w:rPr>
          <w:rFonts w:ascii="Arial" w:hAnsi="Arial" w:cs="Arial"/>
          <w:color w:val="2E74B5" w:themeColor="accent1" w:themeShade="BF"/>
          <w:sz w:val="24"/>
          <w:szCs w:val="24"/>
        </w:rPr>
        <w:t>% del PIB</w:t>
      </w:r>
      <w:r w:rsidRPr="00093A89">
        <w:rPr>
          <w:rFonts w:ascii="Arial" w:hAnsi="Arial" w:cs="Arial"/>
          <w:color w:val="2E74B5" w:themeColor="accent1" w:themeShade="BF"/>
          <w:sz w:val="24"/>
          <w:szCs w:val="24"/>
        </w:rPr>
        <w:t>.</w:t>
      </w:r>
    </w:p>
    <w:p w14:paraId="14F8CA83" w14:textId="3B258DA4" w:rsidR="00093A89" w:rsidRP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 xml:space="preserve">Así mismo, </w:t>
      </w:r>
      <w:r w:rsidR="00B66EDB">
        <w:rPr>
          <w:rFonts w:ascii="Arial" w:hAnsi="Arial" w:cs="Arial"/>
          <w:color w:val="2E74B5" w:themeColor="accent1" w:themeShade="BF"/>
          <w:sz w:val="24"/>
          <w:szCs w:val="24"/>
        </w:rPr>
        <w:t xml:space="preserve">el sector </w:t>
      </w:r>
      <w:r w:rsidRPr="00093A89">
        <w:rPr>
          <w:rFonts w:ascii="Arial" w:hAnsi="Arial" w:cs="Arial"/>
          <w:color w:val="2E74B5" w:themeColor="accent1" w:themeShade="BF"/>
          <w:sz w:val="24"/>
          <w:szCs w:val="24"/>
        </w:rPr>
        <w:t xml:space="preserve">tiene a su cargo </w:t>
      </w:r>
      <w:r w:rsidR="00B66EDB">
        <w:rPr>
          <w:rFonts w:ascii="Arial" w:hAnsi="Arial" w:cs="Arial"/>
          <w:color w:val="2E74B5" w:themeColor="accent1" w:themeShade="BF"/>
          <w:sz w:val="24"/>
          <w:szCs w:val="24"/>
        </w:rPr>
        <w:t xml:space="preserve">cuenta </w:t>
      </w:r>
      <w:r w:rsidRPr="00093A89">
        <w:rPr>
          <w:rFonts w:ascii="Arial" w:hAnsi="Arial" w:cs="Arial"/>
          <w:color w:val="2E74B5" w:themeColor="accent1" w:themeShade="BF"/>
          <w:sz w:val="24"/>
          <w:szCs w:val="24"/>
        </w:rPr>
        <w:t>diferentes tipos de compañías, siendo el segmento de empresas vigilancia con armas, el 61%</w:t>
      </w:r>
      <w:r w:rsidR="00B66EDB">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el sector cuenta con empresas cuya creación se podría considerar reciente dado que solo un</w:t>
      </w:r>
      <w:r w:rsidRPr="00093A89" w:rsidDel="005511C1">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18% tiene más de 26 años en el mercado y el 21% de empresas ha sido constituido </w:t>
      </w:r>
      <w:r w:rsidR="00FA4ADC">
        <w:rPr>
          <w:rFonts w:ascii="Arial" w:hAnsi="Arial" w:cs="Arial"/>
          <w:color w:val="2E74B5" w:themeColor="accent1" w:themeShade="BF"/>
          <w:sz w:val="24"/>
          <w:szCs w:val="24"/>
        </w:rPr>
        <w:t xml:space="preserve">durante </w:t>
      </w:r>
      <w:r w:rsidRPr="00093A89">
        <w:rPr>
          <w:rFonts w:ascii="Arial" w:hAnsi="Arial" w:cs="Arial"/>
          <w:color w:val="2E74B5" w:themeColor="accent1" w:themeShade="BF"/>
          <w:sz w:val="24"/>
          <w:szCs w:val="24"/>
        </w:rPr>
        <w:t>los últimos 5 años. Sin embargo, solo el 29% tiene más de 200 funcionarios, el 13% son grandes empresas y el 38% son pequeñas</w:t>
      </w:r>
      <w:r w:rsidR="00431BA7">
        <w:rPr>
          <w:rFonts w:ascii="Arial" w:hAnsi="Arial" w:cs="Arial"/>
          <w:color w:val="2E74B5" w:themeColor="accent1" w:themeShade="BF"/>
          <w:sz w:val="24"/>
          <w:szCs w:val="24"/>
        </w:rPr>
        <w:t xml:space="preserve"> </w:t>
      </w:r>
      <w:r w:rsidR="00431BA7">
        <w:rPr>
          <w:rFonts w:ascii="Arial" w:hAnsi="Arial" w:cs="Arial"/>
          <w:color w:val="2E74B5" w:themeColor="accent1" w:themeShade="BF"/>
          <w:sz w:val="24"/>
          <w:szCs w:val="24"/>
        </w:rPr>
        <w:fldChar w:fldCharType="begin" w:fldLock="1"/>
      </w:r>
      <w:r w:rsidR="00B07C74">
        <w:rPr>
          <w:rFonts w:ascii="Arial" w:hAnsi="Arial" w:cs="Arial"/>
          <w:color w:val="2E74B5" w:themeColor="accent1" w:themeShade="BF"/>
          <w:sz w:val="24"/>
          <w:szCs w:val="24"/>
        </w:rPr>
        <w:instrText>ADDIN CSL_CITATION { "citationItems" : [ { "id" : "ITEM-1", "itemData" : { "author" : [ { "dropping-particle" : "", "family" : "Pinz\u00f3n", "given" : "Juan Carlos", "non-dropping-particle" : "", "parse-names" : false, "suffix" : "" }, { "dropping-particle" : "", "family" : "Lozano", "given" : "Fernando", "non-dropping-particle" : "", "parse-names" : false, "suffix" : "" } ], "id" : "ITEM-1", "issued" : { "date-parts" : [ [ "2014" ] ] }, "title" : "El Sector de Vigilancia y Seguridad Privada en Colombia : estad\u00edsticas y percepci\u00f3n .", "type" : "article-journal" }, "uris" : [ "http://www.mendeley.com/documents/?uuid=790ec14d-9984-44ce-8933-fc7b22756891" ] } ], "mendeley" : { "formattedCitation" : "(Pinz\u00f3n &amp; Lozano, 2014)", "plainTextFormattedCitation" : "(Pinz\u00f3n &amp; Lozano, 2014)", "previouslyFormattedCitation" : "(Pinz\u00f3n &amp; Lozano, 2014)" }, "properties" : { "noteIndex" : 0 }, "schema" : "https://github.com/citation-style-language/schema/raw/master/csl-citation.json" }</w:instrText>
      </w:r>
      <w:r w:rsidR="00431BA7">
        <w:rPr>
          <w:rFonts w:ascii="Arial" w:hAnsi="Arial" w:cs="Arial"/>
          <w:color w:val="2E74B5" w:themeColor="accent1" w:themeShade="BF"/>
          <w:sz w:val="24"/>
          <w:szCs w:val="24"/>
        </w:rPr>
        <w:fldChar w:fldCharType="separate"/>
      </w:r>
      <w:r w:rsidR="00431BA7" w:rsidRPr="00431BA7">
        <w:rPr>
          <w:rFonts w:ascii="Arial" w:hAnsi="Arial" w:cs="Arial"/>
          <w:noProof/>
          <w:color w:val="2E74B5" w:themeColor="accent1" w:themeShade="BF"/>
          <w:sz w:val="24"/>
          <w:szCs w:val="24"/>
        </w:rPr>
        <w:t>(Pinzón &amp; Lozano, 2014)</w:t>
      </w:r>
      <w:r w:rsidR="00431BA7">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w:t>
      </w:r>
      <w:r w:rsidR="00FB68EE">
        <w:rPr>
          <w:rFonts w:ascii="Arial" w:hAnsi="Arial" w:cs="Arial"/>
          <w:color w:val="2E74B5" w:themeColor="accent1" w:themeShade="BF"/>
          <w:sz w:val="24"/>
          <w:szCs w:val="24"/>
        </w:rPr>
        <w:t xml:space="preserve"> </w:t>
      </w:r>
    </w:p>
    <w:p w14:paraId="09FA43E7" w14:textId="4C1CD24B" w:rsidR="00633B33" w:rsidRDefault="00093A89" w:rsidP="003347DF">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 xml:space="preserve">Por otra parte, el sector considera que la competencia es extremadamente  intensa pero  el 43% considera que aunque existen normas y regulaciones, la legalidad se promueve de manera medianamente eficaz.  Por otra parte, el 39% opina que los clientes toman las decisiones basados en el precio más bajo y no en características </w:t>
      </w:r>
      <w:r w:rsidR="00FA4ADC">
        <w:rPr>
          <w:rFonts w:ascii="Arial" w:hAnsi="Arial" w:cs="Arial"/>
          <w:color w:val="2E74B5" w:themeColor="accent1" w:themeShade="BF"/>
          <w:sz w:val="24"/>
          <w:szCs w:val="24"/>
        </w:rPr>
        <w:t>de</w:t>
      </w:r>
      <w:r w:rsidRPr="00093A89">
        <w:rPr>
          <w:rFonts w:ascii="Arial" w:hAnsi="Arial" w:cs="Arial"/>
          <w:color w:val="2E74B5" w:themeColor="accent1" w:themeShade="BF"/>
          <w:sz w:val="24"/>
          <w:szCs w:val="24"/>
        </w:rPr>
        <w:t xml:space="preserve"> calidad del servicio. También se evidencia que el sector es medianamente innovador (45%) y que les gustaría invertir en medios tecnológicos (48%), capacitación (42%), capital de trabajo (35%) y en publicidad (23%) y en estudios y asesorías (13%)</w:t>
      </w:r>
      <w:r w:rsidR="00431BA7">
        <w:rPr>
          <w:rFonts w:ascii="Arial" w:hAnsi="Arial" w:cs="Arial"/>
          <w:color w:val="2E74B5" w:themeColor="accent1" w:themeShade="BF"/>
          <w:sz w:val="24"/>
          <w:szCs w:val="24"/>
        </w:rPr>
        <w:t xml:space="preserve"> </w:t>
      </w:r>
      <w:r w:rsidR="00B07C74">
        <w:rPr>
          <w:rFonts w:ascii="Arial" w:hAnsi="Arial" w:cs="Arial"/>
          <w:color w:val="2E74B5" w:themeColor="accent1" w:themeShade="BF"/>
          <w:sz w:val="24"/>
          <w:szCs w:val="24"/>
        </w:rPr>
        <w:fldChar w:fldCharType="begin" w:fldLock="1"/>
      </w:r>
      <w:r w:rsidR="009E21C9">
        <w:rPr>
          <w:rFonts w:ascii="Arial" w:hAnsi="Arial" w:cs="Arial"/>
          <w:color w:val="2E74B5" w:themeColor="accent1" w:themeShade="BF"/>
          <w:sz w:val="24"/>
          <w:szCs w:val="24"/>
        </w:rPr>
        <w:instrText>ADDIN CSL_CITATION { "citationItems" : [ { "id" : "ITEM-1", "itemData" : { "author" : [ { "dropping-particle" : "", "family" : "Pinz\u00f3n", "given" : "Juan Carlos", "non-dropping-particle" : "", "parse-names" : false, "suffix" : "" }, { "dropping-particle" : "", "family" : "Lozano", "given" : "Fernando", "non-dropping-particle" : "", "parse-names" : false, "suffix" : "" } ], "id" : "ITEM-1", "issued" : { "date-parts" : [ [ "2014" ] ] }, "title" : "El Sector de Vigilancia y Seguridad Privada en Colombia : estad\u00edsticas y percepci\u00f3n .", "type" : "article-journal" }, "uris" : [ "http://www.mendeley.com/documents/?uuid=790ec14d-9984-44ce-8933-fc7b22756891" ] } ], "mendeley" : { "formattedCitation" : "(Pinz\u00f3n &amp; Lozano, 2014)", "plainTextFormattedCitation" : "(Pinz\u00f3n &amp; Lozano, 2014)", "previouslyFormattedCitation" : "(Pinz\u00f3n &amp; Lozano, 2014)" }, "properties" : { "noteIndex" : 0 }, "schema" : "https://github.com/citation-style-language/schema/raw/master/csl-citation.json" }</w:instrText>
      </w:r>
      <w:r w:rsidR="00B07C74">
        <w:rPr>
          <w:rFonts w:ascii="Arial" w:hAnsi="Arial" w:cs="Arial"/>
          <w:color w:val="2E74B5" w:themeColor="accent1" w:themeShade="BF"/>
          <w:sz w:val="24"/>
          <w:szCs w:val="24"/>
        </w:rPr>
        <w:fldChar w:fldCharType="separate"/>
      </w:r>
      <w:r w:rsidR="00B07C74" w:rsidRPr="00B07C74">
        <w:rPr>
          <w:rFonts w:ascii="Arial" w:hAnsi="Arial" w:cs="Arial"/>
          <w:noProof/>
          <w:color w:val="2E74B5" w:themeColor="accent1" w:themeShade="BF"/>
          <w:sz w:val="24"/>
          <w:szCs w:val="24"/>
        </w:rPr>
        <w:t>(Pinzón &amp; Lozano, 2014)</w:t>
      </w:r>
      <w:r w:rsidR="00B07C74">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w:t>
      </w:r>
      <w:r w:rsidR="00510503">
        <w:rPr>
          <w:rFonts w:ascii="Arial" w:hAnsi="Arial" w:cs="Arial"/>
          <w:color w:val="2E74B5" w:themeColor="accent1" w:themeShade="BF"/>
          <w:sz w:val="24"/>
          <w:szCs w:val="24"/>
        </w:rPr>
        <w:t xml:space="preserve"> De acuerdo con estas cifras se puede preveer que tanto </w:t>
      </w:r>
      <w:r w:rsidRPr="00093A89">
        <w:rPr>
          <w:rFonts w:ascii="Arial" w:hAnsi="Arial" w:cs="Arial"/>
          <w:color w:val="2E74B5" w:themeColor="accent1" w:themeShade="BF"/>
          <w:sz w:val="24"/>
          <w:szCs w:val="24"/>
        </w:rPr>
        <w:t xml:space="preserve">empresas, grandes </w:t>
      </w:r>
      <w:r w:rsidR="00510503">
        <w:rPr>
          <w:rFonts w:ascii="Arial" w:hAnsi="Arial" w:cs="Arial"/>
          <w:color w:val="2E74B5" w:themeColor="accent1" w:themeShade="BF"/>
          <w:sz w:val="24"/>
          <w:szCs w:val="24"/>
        </w:rPr>
        <w:t>como</w:t>
      </w:r>
      <w:r w:rsidR="003347DF">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pequeñas, tienen un enfoque operativo</w:t>
      </w:r>
      <w:r w:rsidR="00510503">
        <w:rPr>
          <w:rFonts w:ascii="Arial" w:hAnsi="Arial" w:cs="Arial"/>
          <w:color w:val="2E74B5" w:themeColor="accent1" w:themeShade="BF"/>
          <w:sz w:val="24"/>
          <w:szCs w:val="24"/>
        </w:rPr>
        <w:t xml:space="preserve"> con una importante necesidad</w:t>
      </w:r>
      <w:r w:rsidRPr="00093A89">
        <w:rPr>
          <w:rFonts w:ascii="Arial" w:hAnsi="Arial" w:cs="Arial"/>
          <w:color w:val="2E74B5" w:themeColor="accent1" w:themeShade="BF"/>
          <w:sz w:val="24"/>
          <w:szCs w:val="24"/>
        </w:rPr>
        <w:t xml:space="preserve"> </w:t>
      </w:r>
      <w:r w:rsidR="00510503">
        <w:rPr>
          <w:rFonts w:ascii="Arial" w:hAnsi="Arial" w:cs="Arial"/>
          <w:color w:val="2E74B5" w:themeColor="accent1" w:themeShade="BF"/>
          <w:sz w:val="24"/>
          <w:szCs w:val="24"/>
        </w:rPr>
        <w:t>de</w:t>
      </w:r>
      <w:r w:rsidRPr="00093A89">
        <w:rPr>
          <w:rFonts w:ascii="Arial" w:hAnsi="Arial" w:cs="Arial"/>
          <w:color w:val="2E74B5" w:themeColor="accent1" w:themeShade="BF"/>
          <w:sz w:val="24"/>
          <w:szCs w:val="24"/>
        </w:rPr>
        <w:t xml:space="preserve"> </w:t>
      </w:r>
      <w:r w:rsidR="00510503">
        <w:rPr>
          <w:rFonts w:ascii="Arial" w:hAnsi="Arial" w:cs="Arial"/>
          <w:color w:val="2E74B5" w:themeColor="accent1" w:themeShade="BF"/>
          <w:sz w:val="24"/>
          <w:szCs w:val="24"/>
        </w:rPr>
        <w:t xml:space="preserve">invertir y desarrollar aspectos importantes del servicio. Esto por ende, permitirá un </w:t>
      </w:r>
      <w:r w:rsidRPr="00093A89">
        <w:rPr>
          <w:rFonts w:ascii="Arial" w:hAnsi="Arial" w:cs="Arial"/>
          <w:color w:val="2E74B5" w:themeColor="accent1" w:themeShade="BF"/>
          <w:sz w:val="24"/>
          <w:szCs w:val="24"/>
        </w:rPr>
        <w:t>fortalecimiento de las relaciones con sus clientes, valores agregados, innovación y creación de valor</w:t>
      </w:r>
      <w:r w:rsidR="003347DF">
        <w:rPr>
          <w:rFonts w:ascii="Arial" w:hAnsi="Arial" w:cs="Arial"/>
          <w:color w:val="2E74B5" w:themeColor="accent1" w:themeShade="BF"/>
          <w:sz w:val="24"/>
          <w:szCs w:val="24"/>
        </w:rPr>
        <w:t>.</w:t>
      </w:r>
      <w:r w:rsidR="00510503" w:rsidRPr="00093A89" w:rsidDel="00510503">
        <w:rPr>
          <w:rFonts w:ascii="Arial" w:hAnsi="Arial" w:cs="Arial"/>
          <w:color w:val="2E74B5" w:themeColor="accent1" w:themeShade="BF"/>
          <w:sz w:val="24"/>
          <w:szCs w:val="24"/>
        </w:rPr>
        <w:t xml:space="preserve"> </w:t>
      </w:r>
    </w:p>
    <w:p w14:paraId="32CE34B7" w14:textId="77777777" w:rsidR="009E21C9" w:rsidRDefault="00633B33" w:rsidP="003347DF">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Este sector, como menciona Hernán González Pardo, Presidente de la Federación Colombiana de Empresas de Vigilancia Y Seguridad Privada (Fecolsep): </w:t>
      </w:r>
    </w:p>
    <w:p w14:paraId="41ED820A" w14:textId="3277598A" w:rsidR="009E21C9" w:rsidRDefault="00633B33" w:rsidP="009E21C9">
      <w:pPr>
        <w:ind w:left="567"/>
        <w:jc w:val="both"/>
        <w:rPr>
          <w:rFonts w:ascii="Arial" w:hAnsi="Arial" w:cs="Arial"/>
          <w:color w:val="2E74B5" w:themeColor="accent1" w:themeShade="BF"/>
          <w:sz w:val="24"/>
          <w:szCs w:val="24"/>
        </w:rPr>
      </w:pPr>
      <w:r w:rsidRPr="009E21C9">
        <w:rPr>
          <w:rFonts w:ascii="Arial" w:hAnsi="Arial" w:cs="Arial"/>
          <w:i/>
          <w:color w:val="2E74B5" w:themeColor="accent1" w:themeShade="BF"/>
          <w:szCs w:val="24"/>
        </w:rPr>
        <w:t>“Se enfrenta al reto de trabajar de la mano de las autoridades militares y de policía para mantener la seguridad en las residencias, instalaciones, negocios y en la persona de sus clientes. Su futuro está también ligado al resultado del proceso de paz, en la medida en que las políticas de reinserción a la sociedad que se apliquen para los desmovilizados y la efectividad de las mismas, podrían traer como consecuencia un aumento del potencial de comisión de delitos o intentos de ello para lo cual un sector de vigilancia privada fuerte es de vital importancia</w:t>
      </w:r>
      <w:r w:rsidR="009E21C9">
        <w:rPr>
          <w:rFonts w:ascii="Arial" w:hAnsi="Arial" w:cs="Arial"/>
          <w:i/>
          <w:color w:val="2E74B5" w:themeColor="accent1" w:themeShade="BF"/>
          <w:szCs w:val="24"/>
        </w:rPr>
        <w:t xml:space="preserve">” </w:t>
      </w:r>
      <w:r w:rsidR="009E21C9">
        <w:rPr>
          <w:rFonts w:ascii="Arial" w:hAnsi="Arial" w:cs="Arial"/>
          <w:i/>
          <w:color w:val="2E74B5" w:themeColor="accent1" w:themeShade="BF"/>
          <w:szCs w:val="24"/>
        </w:rPr>
        <w:fldChar w:fldCharType="begin" w:fldLock="1"/>
      </w:r>
      <w:r w:rsidR="00865EBE">
        <w:rPr>
          <w:rFonts w:ascii="Arial" w:hAnsi="Arial" w:cs="Arial"/>
          <w:i/>
          <w:color w:val="2E74B5" w:themeColor="accent1" w:themeShade="BF"/>
          <w:szCs w:val="24"/>
        </w:rPr>
        <w:instrText>ADDIN CSL_CITATION { "citationItems" : [ { "id" : "ITEM-1", "itemData" : { "author" : [ { "dropping-particle" : "", "family" : "Dinero", "given" : "Revista", "non-dropping-particle" : "", "parse-names" : false, "suffix" : "" } ], "container-title" : "Revista Dinero", "id" : "ITEM-1", "issued" : { "date-parts" : [ [ "2014" ] ] }, "title" : "Crecimiento seguro", "type" : "article-journal" }, "uris" : [ "http://www.mendeley.com/documents/?uuid=162f0f36-2979-4c81-8677-57ae3fb047ea" ] } ], "mendeley" : { "formattedCitation" : "(Dinero, 2014)", "plainTextFormattedCitation" : "(Dinero, 2014)", "previouslyFormattedCitation" : "(Dinero, 2014)" }, "properties" : { "noteIndex" : 0 }, "schema" : "https://github.com/citation-style-language/schema/raw/master/csl-citation.json" }</w:instrText>
      </w:r>
      <w:r w:rsidR="009E21C9">
        <w:rPr>
          <w:rFonts w:ascii="Arial" w:hAnsi="Arial" w:cs="Arial"/>
          <w:i/>
          <w:color w:val="2E74B5" w:themeColor="accent1" w:themeShade="BF"/>
          <w:szCs w:val="24"/>
        </w:rPr>
        <w:fldChar w:fldCharType="separate"/>
      </w:r>
      <w:r w:rsidR="009E21C9" w:rsidRPr="009E21C9">
        <w:rPr>
          <w:rFonts w:ascii="Arial" w:hAnsi="Arial" w:cs="Arial"/>
          <w:noProof/>
          <w:color w:val="2E74B5" w:themeColor="accent1" w:themeShade="BF"/>
          <w:szCs w:val="24"/>
        </w:rPr>
        <w:t>(Dinero, 2014)</w:t>
      </w:r>
      <w:r w:rsidR="009E21C9">
        <w:rPr>
          <w:rFonts w:ascii="Arial" w:hAnsi="Arial" w:cs="Arial"/>
          <w:i/>
          <w:color w:val="2E74B5" w:themeColor="accent1" w:themeShade="BF"/>
          <w:szCs w:val="24"/>
        </w:rPr>
        <w:fldChar w:fldCharType="end"/>
      </w:r>
      <w:r w:rsidR="009E21C9">
        <w:rPr>
          <w:rFonts w:ascii="Arial" w:hAnsi="Arial" w:cs="Arial"/>
          <w:i/>
          <w:color w:val="2E74B5" w:themeColor="accent1" w:themeShade="BF"/>
          <w:szCs w:val="24"/>
        </w:rPr>
        <w:t>.</w:t>
      </w:r>
      <w:r>
        <w:rPr>
          <w:rFonts w:ascii="Arial" w:hAnsi="Arial" w:cs="Arial"/>
          <w:color w:val="2E74B5" w:themeColor="accent1" w:themeShade="BF"/>
          <w:sz w:val="24"/>
          <w:szCs w:val="24"/>
        </w:rPr>
        <w:t xml:space="preserve"> </w:t>
      </w:r>
    </w:p>
    <w:p w14:paraId="513CED6D" w14:textId="4FA2A0F5" w:rsidR="00093A89" w:rsidRPr="00093A89" w:rsidRDefault="003347DF" w:rsidP="009E21C9">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E</w:t>
      </w:r>
      <w:r w:rsidR="00093A89" w:rsidRPr="00093A89">
        <w:rPr>
          <w:rFonts w:ascii="Arial" w:hAnsi="Arial" w:cs="Arial"/>
          <w:color w:val="2E74B5" w:themeColor="accent1" w:themeShade="BF"/>
          <w:sz w:val="24"/>
          <w:szCs w:val="24"/>
        </w:rPr>
        <w:t>n este sentido, la literatura asociada a la Lógica Dominante del Servicio (de aquí en adelante LDS) indica que:</w:t>
      </w:r>
    </w:p>
    <w:p w14:paraId="296D4CA2" w14:textId="77777777" w:rsidR="00093A89" w:rsidRPr="00093A89" w:rsidRDefault="00093A89" w:rsidP="00093A89">
      <w:pPr>
        <w:ind w:left="567"/>
        <w:jc w:val="both"/>
        <w:rPr>
          <w:rFonts w:ascii="Arial" w:hAnsi="Arial" w:cs="Arial"/>
          <w:color w:val="2E74B5" w:themeColor="accent1" w:themeShade="BF"/>
          <w:szCs w:val="24"/>
        </w:rPr>
      </w:pPr>
      <w:r w:rsidRPr="00093A89">
        <w:rPr>
          <w:rFonts w:ascii="Arial" w:hAnsi="Arial" w:cs="Arial"/>
          <w:i/>
          <w:color w:val="2E74B5" w:themeColor="accent1" w:themeShade="BF"/>
          <w:szCs w:val="24"/>
        </w:rPr>
        <w:t xml:space="preserve">“Las nuevas perspectivas convergen para formar una nueva lógica dominante para la comercialización, en la que la prestación de servicios en lugar de productos es fundamental para el intercambio económico…el cliente es un co-productor del </w:t>
      </w:r>
      <w:r w:rsidRPr="00093A89">
        <w:rPr>
          <w:rFonts w:ascii="Arial" w:hAnsi="Arial" w:cs="Arial"/>
          <w:i/>
          <w:color w:val="2E74B5" w:themeColor="accent1" w:themeShade="BF"/>
          <w:szCs w:val="24"/>
        </w:rPr>
        <w:lastRenderedPageBreak/>
        <w:t xml:space="preserve">servicio... El marketing es un proceso por medio del cual se realizan acciones en interacción con el cliente” </w:t>
      </w:r>
      <w:r w:rsidRPr="00093A89">
        <w:rPr>
          <w:rFonts w:ascii="Arial" w:hAnsi="Arial" w:cs="Arial"/>
          <w:i/>
          <w:color w:val="2E74B5" w:themeColor="accent1" w:themeShade="BF"/>
          <w:szCs w:val="24"/>
        </w:rPr>
        <w:fldChar w:fldCharType="begin" w:fldLock="1"/>
      </w:r>
      <w:r w:rsidRPr="00093A89">
        <w:rPr>
          <w:rFonts w:ascii="Arial" w:hAnsi="Arial" w:cs="Arial"/>
          <w:i/>
          <w:color w:val="2E74B5" w:themeColor="accent1" w:themeShade="BF"/>
          <w:szCs w:val="24"/>
        </w:rPr>
        <w:instrText>ADDIN CSL_CITATION { "citationItems" : [ { "id" : "ITEM-1", "itemData" : { "DOI" : "10.1509/jmkg.68.1.1.24036", "ISBN" : "0022-2429 U6 - ctx_ver=Z39.88-2004&amp;ctx_enc=info%3Aofi%2Fenc%3AUTF-8&amp;rfr_id=info:sid/summon.serialssolutions.com&amp;rft_val_fmt=info:ofi/fmt:kev:mtx:journal&amp;rft.genre=article&amp;rft.atitle=Evolving+to+a+New+Dominant+Logic+for+Marketing&amp;rft.jtitle=The+Journal+of+Marketing&amp;rft.au=Vargo%2C+Stephen+L&amp;rft.au=Lusch%2C+Robert+F&amp;rft.date=2004-01-01&amp;rft.pub=American+Marketing+Association&amp;rft.issn=0022-2429&amp;rft.volume=68&amp;rft.issue=1&amp;rft.spage=1&amp;rft.epage=17&amp;rft.externalDocID=10.2307%2F30161971 U7 - Journal Artic", "ISSN" : "0022-2429", "PMID" : "12142574", "abstract" : "Describes the Service-Centered Dominant Logic (S-D logic). Firms should focus on more than just creating goods: customer-centric and relational focus. This makes operant (non-physical) resources even more important than operand (physical) resources. As a result, the exchange of information has become more important (because this is part of relationships). (*) Even one-time transations should be viewed from relational process (*) Relates to the days during which firms actually knew their customers (and vice versa)", "author" : [ { "dropping-particle" : "", "family" : "Vargo", "given" : "S", "non-dropping-particle" : "", "parse-names" : false, "suffix" : "" }, { "dropping-particle" : "", "family" : "Lusch", "given" : "R", "non-dropping-particle" : "", "parse-names" : false, "suffix" : "" } ], "container-title" : "Journal of Marketing", "id" : "ITEM-1", "issue" : "1", "issued" : { "date-parts" : [ [ "2004" ] ] }, "page" : "1-17", "title" : "Evolving to a New Dominant Logic for Marketing", "type" : "article-journal", "volume" : "68" }, "uris" : [ "http://www.mendeley.com/documents/?uuid=b8e23ab6-be09-4bef-81b8-7545d37eb99b", "http://www.mendeley.com/documents/?uuid=c95754d4-0dd4-40a5-a2f1-7bc14c928a08" ] } ], "mendeley" : { "formattedCitation" : "(Vargo &amp; Lusch, 2004)", "plainTextFormattedCitation" : "(Vargo &amp; Lusch, 2004)", "previouslyFormattedCitation" : "(Vargo &amp; Lusch, 2004)" }, "properties" : { "noteIndex" : 0 }, "schema" : "https://github.com/citation-style-language/schema/raw/master/csl-citation.json" }</w:instrText>
      </w:r>
      <w:r w:rsidRPr="00093A89">
        <w:rPr>
          <w:rFonts w:ascii="Arial" w:hAnsi="Arial" w:cs="Arial"/>
          <w:i/>
          <w:color w:val="2E74B5" w:themeColor="accent1" w:themeShade="BF"/>
          <w:szCs w:val="24"/>
        </w:rPr>
        <w:fldChar w:fldCharType="separate"/>
      </w:r>
      <w:r w:rsidRPr="00093A89">
        <w:rPr>
          <w:rFonts w:ascii="Arial" w:hAnsi="Arial" w:cs="Arial"/>
          <w:noProof/>
          <w:color w:val="2E74B5" w:themeColor="accent1" w:themeShade="BF"/>
          <w:szCs w:val="24"/>
        </w:rPr>
        <w:t>(Vargo &amp; Lusch, 2004)</w:t>
      </w:r>
      <w:r w:rsidRPr="00093A89">
        <w:rPr>
          <w:rFonts w:ascii="Arial" w:hAnsi="Arial" w:cs="Arial"/>
          <w:i/>
          <w:color w:val="2E74B5" w:themeColor="accent1" w:themeShade="BF"/>
          <w:szCs w:val="24"/>
        </w:rPr>
        <w:fldChar w:fldCharType="end"/>
      </w:r>
      <w:r w:rsidRPr="00093A89">
        <w:rPr>
          <w:rFonts w:ascii="Arial" w:hAnsi="Arial" w:cs="Arial"/>
          <w:i/>
          <w:color w:val="2E74B5" w:themeColor="accent1" w:themeShade="BF"/>
          <w:szCs w:val="24"/>
        </w:rPr>
        <w:t xml:space="preserve"> .</w:t>
      </w:r>
      <w:r w:rsidRPr="00093A89">
        <w:rPr>
          <w:rFonts w:ascii="Arial" w:hAnsi="Arial" w:cs="Arial"/>
          <w:color w:val="2E74B5" w:themeColor="accent1" w:themeShade="BF"/>
          <w:szCs w:val="24"/>
        </w:rPr>
        <w:t xml:space="preserve"> </w:t>
      </w:r>
    </w:p>
    <w:p w14:paraId="0F884DFD" w14:textId="3B0746A1" w:rsidR="00633B33"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Es así que, en el caso del sector de la seguridad privada en Colombia, el cliente, expone su vida, sus bienes, sus intereses</w:t>
      </w:r>
      <w:r w:rsidR="00633B33">
        <w:rPr>
          <w:rFonts w:ascii="Arial" w:hAnsi="Arial" w:cs="Arial"/>
          <w:color w:val="2E74B5" w:themeColor="accent1" w:themeShade="BF"/>
          <w:sz w:val="24"/>
          <w:szCs w:val="24"/>
        </w:rPr>
        <w:t xml:space="preserve"> y cuando </w:t>
      </w:r>
      <w:r w:rsidRPr="00093A89">
        <w:rPr>
          <w:rFonts w:ascii="Arial" w:hAnsi="Arial" w:cs="Arial"/>
          <w:color w:val="2E74B5" w:themeColor="accent1" w:themeShade="BF"/>
          <w:sz w:val="24"/>
          <w:szCs w:val="24"/>
        </w:rPr>
        <w:t>terceriza este riesgo</w:t>
      </w:r>
      <w:r w:rsidR="00633B33">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quiere ser parte activa en las asesorías y decisiones que la empresa de seguridad vaya a tomar al respecto. Es por ello que la LDS y su principio de </w:t>
      </w:r>
      <w:r w:rsidRPr="00093A89">
        <w:rPr>
          <w:rFonts w:ascii="Arial" w:hAnsi="Arial" w:cs="Arial"/>
          <w:i/>
          <w:color w:val="2E74B5" w:themeColor="accent1" w:themeShade="BF"/>
          <w:sz w:val="24"/>
          <w:szCs w:val="24"/>
        </w:rPr>
        <w:t xml:space="preserve">“el cliente es siempre co-productor” </w:t>
      </w:r>
      <w:r w:rsidRPr="00093A89">
        <w:rPr>
          <w:rFonts w:ascii="Arial" w:hAnsi="Arial" w:cs="Arial"/>
          <w:color w:val="2E74B5" w:themeColor="accent1" w:themeShade="BF"/>
          <w:sz w:val="24"/>
          <w:szCs w:val="24"/>
        </w:rPr>
        <w:t>y</w:t>
      </w:r>
      <w:r w:rsidRPr="00093A89">
        <w:rPr>
          <w:rFonts w:ascii="Arial" w:hAnsi="Arial" w:cs="Arial"/>
          <w:i/>
          <w:color w:val="2E74B5" w:themeColor="accent1" w:themeShade="BF"/>
          <w:sz w:val="24"/>
          <w:szCs w:val="24"/>
        </w:rPr>
        <w:t xml:space="preserve"> “el cliente determina valor y participa en su creación a través del proceso de coproducción”</w:t>
      </w:r>
      <w:r w:rsidRPr="00093A89">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fldChar w:fldCharType="begin" w:fldLock="1"/>
      </w:r>
      <w:r w:rsidRPr="00093A89">
        <w:rPr>
          <w:rFonts w:ascii="Arial" w:hAnsi="Arial" w:cs="Arial"/>
          <w:color w:val="2E74B5" w:themeColor="accent1" w:themeShade="BF"/>
          <w:sz w:val="24"/>
          <w:szCs w:val="24"/>
        </w:rPr>
        <w:instrText>ADDIN CSL_CITATION { "citationItems" : [ { "id" : "ITEM-1", "itemData" : { "DOI" : "10.1509/jmkg.68.1.1.24036", "ISBN" : "0022-2429 U6 - ctx_ver=Z39.88-2004&amp;ctx_enc=info%3Aofi%2Fenc%3AUTF-8&amp;rfr_id=info:sid/summon.serialssolutions.com&amp;rft_val_fmt=info:ofi/fmt:kev:mtx:journal&amp;rft.genre=article&amp;rft.atitle=Evolving+to+a+New+Dominant+Logic+for+Marketing&amp;rft.jtitle=The+Journal+of+Marketing&amp;rft.au=Vargo%2C+Stephen+L&amp;rft.au=Lusch%2C+Robert+F&amp;rft.date=2004-01-01&amp;rft.pub=American+Marketing+Association&amp;rft.issn=0022-2429&amp;rft.volume=68&amp;rft.issue=1&amp;rft.spage=1&amp;rft.epage=17&amp;rft.externalDocID=10.2307%2F30161971 U7 - Journal Artic", "ISSN" : "0022-2429", "PMID" : "12142574", "abstract" : "Describes the Service-Centered Dominant Logic (S-D logic). Firms should focus on more than just creating goods: customer-centric and relational focus. This makes operant (non-physical) resources even more important than operand (physical) resources. As a result, the exchange of information has become more important (because this is part of relationships). (*) Even one-time transations should be viewed from relational process (*) Relates to the days during which firms actually knew their customers (and vice versa)", "author" : [ { "dropping-particle" : "", "family" : "Vargo", "given" : "S", "non-dropping-particle" : "", "parse-names" : false, "suffix" : "" }, { "dropping-particle" : "", "family" : "Lusch", "given" : "R", "non-dropping-particle" : "", "parse-names" : false, "suffix" : "" } ], "container-title" : "Journal of Marketing", "id" : "ITEM-1", "issue" : "1", "issued" : { "date-parts" : [ [ "2004" ] ] }, "page" : "1-17", "title" : "Evolving to a New Dominant Logic for Marketing", "type" : "article-journal", "volume" : "68" }, "uris" : [ "http://www.mendeley.com/documents/?uuid=c95754d4-0dd4-40a5-a2f1-7bc14c928a08", "http://www.mendeley.com/documents/?uuid=b8e23ab6-be09-4bef-81b8-7545d37eb99b" ] } ], "mendeley" : { "formattedCitation" : "(Vargo &amp; Lusch, 2004)", "plainTextFormattedCitation" : "(Vargo &amp; Lusch, 2004)", "previouslyFormattedCitation" : "(Vargo &amp; Lusch, 2004)"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(Vargo &amp; Lusch, 2004)</w:t>
      </w:r>
      <w:r w:rsidRPr="00093A89">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 xml:space="preserve"> </w:t>
      </w:r>
      <w:r w:rsidR="00B66EDB">
        <w:rPr>
          <w:rFonts w:ascii="Arial" w:hAnsi="Arial" w:cs="Arial"/>
          <w:color w:val="2E74B5" w:themeColor="accent1" w:themeShade="BF"/>
          <w:sz w:val="24"/>
          <w:szCs w:val="24"/>
        </w:rPr>
        <w:t xml:space="preserve">contribuye </w:t>
      </w:r>
      <w:r w:rsidRPr="00093A89">
        <w:rPr>
          <w:rFonts w:ascii="Arial" w:hAnsi="Arial" w:cs="Arial"/>
          <w:color w:val="2E74B5" w:themeColor="accent1" w:themeShade="BF"/>
          <w:sz w:val="24"/>
          <w:szCs w:val="24"/>
        </w:rPr>
        <w:t xml:space="preserve">a </w:t>
      </w:r>
      <w:r w:rsidR="00B66EDB">
        <w:rPr>
          <w:rFonts w:ascii="Arial" w:hAnsi="Arial" w:cs="Arial"/>
          <w:color w:val="2E74B5" w:themeColor="accent1" w:themeShade="BF"/>
          <w:sz w:val="24"/>
          <w:szCs w:val="24"/>
        </w:rPr>
        <w:t xml:space="preserve">dar cuenta de la necesidad de </w:t>
      </w:r>
      <w:r w:rsidRPr="00093A89">
        <w:rPr>
          <w:rFonts w:ascii="Arial" w:hAnsi="Arial" w:cs="Arial"/>
          <w:color w:val="2E74B5" w:themeColor="accent1" w:themeShade="BF"/>
          <w:sz w:val="24"/>
          <w:szCs w:val="24"/>
        </w:rPr>
        <w:t>identifica</w:t>
      </w:r>
      <w:r w:rsidR="00B66EDB">
        <w:rPr>
          <w:rFonts w:ascii="Arial" w:hAnsi="Arial" w:cs="Arial"/>
          <w:color w:val="2E74B5" w:themeColor="accent1" w:themeShade="BF"/>
          <w:sz w:val="24"/>
          <w:szCs w:val="24"/>
        </w:rPr>
        <w:t>r</w:t>
      </w:r>
      <w:r w:rsidRPr="00093A89">
        <w:rPr>
          <w:rFonts w:ascii="Arial" w:hAnsi="Arial" w:cs="Arial"/>
          <w:color w:val="2E74B5" w:themeColor="accent1" w:themeShade="BF"/>
          <w:sz w:val="24"/>
          <w:szCs w:val="24"/>
        </w:rPr>
        <w:t xml:space="preserve"> los factores que generan valor al cliente y que puedan dar paso a que las organizaciones se diferencien entre ellas.</w:t>
      </w:r>
    </w:p>
    <w:p w14:paraId="661446B0" w14:textId="0BF44AA4" w:rsidR="00093A89" w:rsidRP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Aunado a lo anterior, es preciso mencionar que en la literatura científica se encuentra sólo un trabajo que dedica su validación empírica al sector cuyo propósito fue profundizar en el conocimiento de los servicios de seguridad privada mediante la exploración de la creación de valor de la seguridad desde la perspectiva del cliente</w:t>
      </w:r>
      <w:r w:rsidR="00B66EDB">
        <w:rPr>
          <w:rFonts w:ascii="Arial" w:hAnsi="Arial" w:cs="Arial"/>
          <w:color w:val="2E74B5" w:themeColor="accent1" w:themeShade="BF"/>
          <w:sz w:val="24"/>
          <w:szCs w:val="24"/>
        </w:rPr>
        <w:t xml:space="preserve">, mismo que versa sobre </w:t>
      </w:r>
      <w:r w:rsidRPr="00093A89">
        <w:rPr>
          <w:rFonts w:ascii="Arial" w:hAnsi="Arial" w:cs="Arial"/>
          <w:color w:val="2E74B5" w:themeColor="accent1" w:themeShade="BF"/>
          <w:sz w:val="24"/>
          <w:szCs w:val="24"/>
        </w:rPr>
        <w:t xml:space="preserve">los beneficios y sacrificios reales con el fin de aportar al conocimiento respecto a la relación comercial </w:t>
      </w:r>
      <w:r w:rsidRPr="00093A89">
        <w:rPr>
          <w:rFonts w:ascii="Arial" w:hAnsi="Arial" w:cs="Arial"/>
          <w:i/>
          <w:color w:val="2E74B5" w:themeColor="accent1" w:themeShade="BF"/>
          <w:sz w:val="24"/>
          <w:szCs w:val="24"/>
        </w:rPr>
        <w:fldChar w:fldCharType="begin" w:fldLock="1"/>
      </w:r>
      <w:r w:rsidR="00431BA7">
        <w:rPr>
          <w:rFonts w:ascii="Arial" w:hAnsi="Arial" w:cs="Arial"/>
          <w:i/>
          <w:color w:val="2E74B5" w:themeColor="accent1" w:themeShade="BF"/>
          <w:sz w:val="24"/>
          <w:szCs w:val="24"/>
        </w:rPr>
        <w:instrText>ADDIN CSL_CITATION { "citationItems" : [ { "id" : "ITEM-1", "itemData" : { "DOI" : "10.2495/SAFE110131", "abstract" : "The private security industry has witnessed dramatic growth during the past few decades, but despite the remarkable growth, there is a lack of empirical studies focusing on the customer value of private security services. Much of the existing literature on private security focuses on the causes of its growth and on good governance practices, while very little attention has been paid to the actual process of value creation. The aim of this study is to deepen the understanding of private security services by exploring value creation of security guarding from the customer's perspective, i.e., the actual benefits and sacrifices as well as the customer-relationship aspects perceived by the customer. The study is based on open-ended interviews (n=15) with business-to-business customers of three security service providers. The study follows the paradigm of social constructionism and an active interview approach. The key drivers of customer value are presented as a result of a qualitative thematic analysis. The findings of the study reveal that customer value is centred on two main themes: guarding services as a guarantee for security and guarding services as professional business-to-business services. In total, nine value drivers that influence customer value are identified. In the first theme, they are reactivity, reliability, presence and personal characteristics. In the second theme, they are balance between duties, communication, relationship management practices, and time and effort. As a conclusion, the study argues that security guard services should not only be evaluated in relation to crime prevention and security provision but take into consideration all the security guards' duties, including, e.g., customer service and housekeeping. A new term security-service dilemma is also introduced to describe the difficulties of combining security-related duties with non-security duties in one service concept. \u00a9 2011 WIT Press.", "author" : [ { "dropping-particle" : "", "family" : "J\u00e4hi", "given" : "M", "non-dropping-particle" : "", "parse-names" : false, "suffix" : "" } ], "id" : "ITEM-1", "issued" : { "date-parts" : [ [ "2011" ] ] }, "note" : "Export Date: 3 September 2015", "page" : "137-148", "title" : "Key drivers of customer value in business-to-business security guard services", "type" : "paper-conference", "volume" : "117" }, "uris" : [ "http://www.mendeley.com/documents/?uuid=6b1067ab-ebd7-4489-8d1a-8ba7bfa919fd", "http://www.mendeley.com/documents/?uuid=c2dd0d85-c3d5-420d-9f03-28e75511b126" ] } ], "mendeley" : { "formattedCitation" : "(J\u00e4hi, 2011)", "plainTextFormattedCitation" : "(J\u00e4hi, 2011)", "previouslyFormattedCitation" : "(J\u00e4hi, 2011)"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093A89">
        <w:rPr>
          <w:rFonts w:ascii="Arial" w:hAnsi="Arial" w:cs="Arial"/>
          <w:i/>
          <w:noProof/>
          <w:color w:val="2E74B5" w:themeColor="accent1" w:themeShade="BF"/>
          <w:sz w:val="24"/>
          <w:szCs w:val="24"/>
        </w:rPr>
        <w:t>(Jähi, 2011)</w:t>
      </w:r>
      <w:r w:rsidRPr="00093A89">
        <w:rPr>
          <w:rFonts w:ascii="Arial" w:hAnsi="Arial" w:cs="Arial"/>
          <w:i/>
          <w:color w:val="2E74B5" w:themeColor="accent1" w:themeShade="BF"/>
          <w:sz w:val="24"/>
          <w:szCs w:val="24"/>
        </w:rPr>
        <w:fldChar w:fldCharType="end"/>
      </w:r>
      <w:r w:rsidRPr="00093A89">
        <w:rPr>
          <w:rFonts w:ascii="Arial" w:hAnsi="Arial" w:cs="Arial"/>
          <w:i/>
          <w:color w:val="2E74B5" w:themeColor="accent1" w:themeShade="BF"/>
          <w:sz w:val="24"/>
          <w:szCs w:val="24"/>
        </w:rPr>
        <w:t>.</w:t>
      </w:r>
      <w:r w:rsidRPr="00093A89">
        <w:rPr>
          <w:rFonts w:ascii="Arial" w:hAnsi="Arial" w:cs="Arial"/>
          <w:color w:val="2E74B5" w:themeColor="accent1" w:themeShade="BF"/>
          <w:sz w:val="24"/>
          <w:szCs w:val="24"/>
        </w:rPr>
        <w:t xml:space="preserve"> No obstante, el </w:t>
      </w:r>
      <w:r w:rsidR="005C56F9">
        <w:rPr>
          <w:rFonts w:ascii="Arial" w:hAnsi="Arial" w:cs="Arial"/>
          <w:color w:val="2E74B5" w:themeColor="accent1" w:themeShade="BF"/>
          <w:sz w:val="24"/>
          <w:szCs w:val="24"/>
        </w:rPr>
        <w:t>estudio en mención</w:t>
      </w:r>
      <w:r w:rsidRPr="00093A89">
        <w:rPr>
          <w:rFonts w:ascii="Arial" w:hAnsi="Arial" w:cs="Arial"/>
          <w:color w:val="2E74B5" w:themeColor="accent1" w:themeShade="BF"/>
          <w:sz w:val="24"/>
          <w:szCs w:val="24"/>
        </w:rPr>
        <w:t>, aborda la creación de valor desde lo que la empresa puede ofrecer al consumidor y obtener por eso, sin involucrar al cliente en la creación del valor para el servicio. De hecho, realiza una clasificación de beneficios y sacrificios, que no permite tener un panorama completo acerca del valor percibido</w:t>
      </w:r>
      <w:r w:rsidR="00B66EDB">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tal como es expuesto en la perspectiva de la LDS en donde el cliente es co-productor mediante la constante interacción con su proveedor y el servicio que ofrece. Es allí que él conoce lo que puede hacer y hasta </w:t>
      </w:r>
      <w:r w:rsidR="00FA4ADC" w:rsidRPr="00093A89">
        <w:rPr>
          <w:rFonts w:ascii="Arial" w:hAnsi="Arial" w:cs="Arial"/>
          <w:color w:val="2E74B5" w:themeColor="accent1" w:themeShade="BF"/>
          <w:sz w:val="24"/>
          <w:szCs w:val="24"/>
        </w:rPr>
        <w:t>dónde</w:t>
      </w:r>
      <w:r w:rsidRPr="00093A89">
        <w:rPr>
          <w:rFonts w:ascii="Arial" w:hAnsi="Arial" w:cs="Arial"/>
          <w:color w:val="2E74B5" w:themeColor="accent1" w:themeShade="BF"/>
          <w:sz w:val="24"/>
          <w:szCs w:val="24"/>
        </w:rPr>
        <w:t xml:space="preserve"> puede llegar con lo que tiene a su disposición como consumidor </w:t>
      </w:r>
      <w:r w:rsidRPr="00093A89">
        <w:rPr>
          <w:rFonts w:ascii="Arial" w:hAnsi="Arial" w:cs="Arial"/>
          <w:color w:val="2E74B5" w:themeColor="accent1" w:themeShade="BF"/>
          <w:sz w:val="24"/>
          <w:szCs w:val="24"/>
        </w:rPr>
        <w:fldChar w:fldCharType="begin" w:fldLock="1"/>
      </w:r>
      <w:r w:rsidR="00431BA7">
        <w:rPr>
          <w:rFonts w:ascii="Arial" w:hAnsi="Arial" w:cs="Arial"/>
          <w:color w:val="2E74B5" w:themeColor="accent1" w:themeShade="BF"/>
          <w:sz w:val="24"/>
          <w:szCs w:val="24"/>
        </w:rPr>
        <w:instrText>ADDIN CSL_CITATION { "citationItems" : [ { "id" : "ITEM-1", "itemData" : { "DOI" : "10.1108/09555340810886585", "abstract" : "Purpose - In the discussion on service-dominant logic and its consequences for value creation and marketing the inner meaning of the value-in-use notion and the nature of service marketing have not been considered thoroughly. The purpose of this paper is to analyze the meaning of a service logic as a logic for consumption and provision, respectively, and explore the consequences for value creation and marketing. Design/methodology/approach - Being a research-based paper, the topic is approached by theoretical analysis and conceptual development. Findings - Discussing the differences between value-in-exchange and value-in-use, the paper concludes that value-in-exchange in essence concerns resources used as a value foundation which are aimed at facilitating customers' fulfilment of value-in-use. When accepting value-in-use as a foundational value creation concept customers are the value creators. Adopting a service logic makes it possible for firms to get involved with their customers' value-generating processes, and the market offering is expanded to including firm-customer interactions. In this way, the supplier can become a co-creator of value with its customers. Drawing on the analysis, ten concluding service logic propositions are put forward. Research limitations/implications - The analysis provides a foundation for further development of a service logic for customers and suppliers, respectively, (\"service logic\" is preferred over the normally used \"service-dominant logic\") as well for further analysis of the marketing consequences of adopting such a business and marketing logic. Practical implications - Marketing practitioners will find new ways of understanding customers' value creation and of developing marketing strategies with an aim to engage suppliers with their customers' consumption processes in order to enhance customer satisfaction. Originality/value - For a scholarly audience, the paper provides a more truly service-centric understanding of value creation and of its marketing consequences. For a practitioner audience, it offers service-based means of further developing marketing practices. \u00a9 Emerald Group Publishing Limited.", "author" : [ { "dropping-particle" : "", "family" : "Gr\u00f6nroos", "given" : "C", "non-dropping-particle" : "", "parse-names" : false, "suffix" : "" } ], "container-title" : "European Business Review", "id" : "ITEM-1", "issue" : "4", "issued" : { "date-parts" : [ [ "2008" ] ] }, "note" : "Cited By :291\n\nExport Date: 3 September 2015", "page" : "298-314", "title" : "Service logic revisited: Who creates value? And who co-creates?", "type" : "article-journal", "volume" : "20" }, "uris" : [ "http://www.mendeley.com/documents/?uuid=0997ea28-a529-47f5-8c0e-aa7058d7032c" ] } ], "mendeley" : { "formattedCitation" : "(Gr\u00f6nroos, 2008)", "plainTextFormattedCitation" : "(Gr\u00f6nroos, 2008)", "previouslyFormattedCitation" : "(Gr\u00f6nroos, 2008)"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(Grönroos, 2008)</w:t>
      </w:r>
      <w:r w:rsidRPr="00093A89">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w:t>
      </w:r>
    </w:p>
    <w:p w14:paraId="32E8B125" w14:textId="74BEC24E" w:rsidR="00093A89" w:rsidRPr="00093A89" w:rsidRDefault="00093A89" w:rsidP="00093A89">
      <w:pPr>
        <w:jc w:val="both"/>
        <w:rPr>
          <w:rFonts w:ascii="Arial" w:hAnsi="Arial" w:cs="Arial"/>
          <w:i/>
          <w:color w:val="2E74B5" w:themeColor="accent1" w:themeShade="BF"/>
          <w:sz w:val="24"/>
          <w:szCs w:val="24"/>
        </w:rPr>
      </w:pPr>
      <w:r w:rsidRPr="00093A89">
        <w:rPr>
          <w:rFonts w:ascii="Arial" w:hAnsi="Arial" w:cs="Arial"/>
          <w:color w:val="2E74B5" w:themeColor="accent1" w:themeShade="BF"/>
          <w:sz w:val="24"/>
          <w:szCs w:val="24"/>
        </w:rPr>
        <w:t xml:space="preserve">Así mismo, las organizaciones del sector de seguridad miden la satisfacción del usuario, a través de los </w:t>
      </w:r>
      <w:r w:rsidR="00B66EDB" w:rsidRPr="00093A89">
        <w:rPr>
          <w:rFonts w:ascii="Arial" w:hAnsi="Arial" w:cs="Arial"/>
          <w:color w:val="2E74B5" w:themeColor="accent1" w:themeShade="BF"/>
          <w:sz w:val="24"/>
          <w:szCs w:val="24"/>
        </w:rPr>
        <w:t>índices</w:t>
      </w:r>
      <w:r w:rsidRPr="00093A89">
        <w:rPr>
          <w:rFonts w:ascii="Arial" w:hAnsi="Arial" w:cs="Arial"/>
          <w:color w:val="2E74B5" w:themeColor="accent1" w:themeShade="BF"/>
          <w:sz w:val="24"/>
          <w:szCs w:val="24"/>
        </w:rPr>
        <w:t xml:space="preserve"> e indicadores que las normas de calidad en las que cada una se encuentre certificad</w:t>
      </w:r>
      <w:r w:rsidR="002130D5">
        <w:rPr>
          <w:rFonts w:ascii="Arial" w:hAnsi="Arial" w:cs="Arial"/>
          <w:color w:val="2E74B5" w:themeColor="accent1" w:themeShade="BF"/>
          <w:sz w:val="24"/>
          <w:szCs w:val="24"/>
        </w:rPr>
        <w:t>o</w:t>
      </w:r>
      <w:r w:rsidRPr="00093A89">
        <w:rPr>
          <w:rFonts w:ascii="Arial" w:hAnsi="Arial" w:cs="Arial"/>
          <w:color w:val="2E74B5" w:themeColor="accent1" w:themeShade="BF"/>
          <w:sz w:val="24"/>
          <w:szCs w:val="24"/>
        </w:rPr>
        <w:t>, exig</w:t>
      </w:r>
      <w:r w:rsidR="002130D5">
        <w:rPr>
          <w:rFonts w:ascii="Arial" w:hAnsi="Arial" w:cs="Arial"/>
          <w:color w:val="2E74B5" w:themeColor="accent1" w:themeShade="BF"/>
          <w:sz w:val="24"/>
          <w:szCs w:val="24"/>
        </w:rPr>
        <w:t>a</w:t>
      </w:r>
      <w:r w:rsidRPr="00093A89">
        <w:rPr>
          <w:rFonts w:ascii="Arial" w:hAnsi="Arial" w:cs="Arial"/>
          <w:color w:val="2E74B5" w:themeColor="accent1" w:themeShade="BF"/>
          <w:sz w:val="24"/>
          <w:szCs w:val="24"/>
        </w:rPr>
        <w:t xml:space="preserve">; sin embargo, los anteriores ejercicios no dan luces sobre los aspectos que el usuario percibe como </w:t>
      </w:r>
      <w:r w:rsidR="00794203">
        <w:rPr>
          <w:rFonts w:ascii="Arial" w:hAnsi="Arial" w:cs="Arial"/>
          <w:color w:val="2E74B5" w:themeColor="accent1" w:themeShade="BF"/>
          <w:sz w:val="24"/>
          <w:szCs w:val="24"/>
        </w:rPr>
        <w:t xml:space="preserve">de valor para sí </w:t>
      </w:r>
      <w:r w:rsidR="00FB46B6">
        <w:rPr>
          <w:rFonts w:ascii="Arial" w:hAnsi="Arial" w:cs="Arial"/>
          <w:color w:val="2E74B5" w:themeColor="accent1" w:themeShade="BF"/>
          <w:sz w:val="24"/>
          <w:szCs w:val="24"/>
        </w:rPr>
        <w:t xml:space="preserve">y aquí es </w:t>
      </w:r>
      <w:r w:rsidR="00E073A6">
        <w:rPr>
          <w:rFonts w:ascii="Arial" w:hAnsi="Arial" w:cs="Arial"/>
          <w:color w:val="2E74B5" w:themeColor="accent1" w:themeShade="BF"/>
          <w:sz w:val="24"/>
          <w:szCs w:val="24"/>
        </w:rPr>
        <w:t xml:space="preserve">determinante </w:t>
      </w:r>
      <w:r w:rsidR="00FB46B6">
        <w:rPr>
          <w:rFonts w:ascii="Arial" w:hAnsi="Arial" w:cs="Arial"/>
          <w:color w:val="2E74B5" w:themeColor="accent1" w:themeShade="BF"/>
          <w:sz w:val="24"/>
          <w:szCs w:val="24"/>
        </w:rPr>
        <w:t xml:space="preserve">dar un paso entre lo que </w:t>
      </w:r>
      <w:r w:rsidR="00A468F7">
        <w:rPr>
          <w:rFonts w:ascii="Arial" w:hAnsi="Arial" w:cs="Arial"/>
          <w:color w:val="2E74B5" w:themeColor="accent1" w:themeShade="BF"/>
          <w:sz w:val="24"/>
          <w:szCs w:val="24"/>
        </w:rPr>
        <w:t>era importante</w:t>
      </w:r>
      <w:r w:rsidR="00FB46B6">
        <w:rPr>
          <w:rFonts w:ascii="Arial" w:hAnsi="Arial" w:cs="Arial"/>
          <w:color w:val="2E74B5" w:themeColor="accent1" w:themeShade="BF"/>
          <w:sz w:val="24"/>
          <w:szCs w:val="24"/>
        </w:rPr>
        <w:t xml:space="preserve"> en la década de los 90’s</w:t>
      </w:r>
      <w:r w:rsidR="00A468F7">
        <w:rPr>
          <w:rFonts w:ascii="Arial" w:hAnsi="Arial" w:cs="Arial"/>
          <w:color w:val="2E74B5" w:themeColor="accent1" w:themeShade="BF"/>
          <w:sz w:val="24"/>
          <w:szCs w:val="24"/>
        </w:rPr>
        <w:t xml:space="preserve">, </w:t>
      </w:r>
      <w:r w:rsidR="00FB46B6">
        <w:rPr>
          <w:rFonts w:ascii="Arial" w:hAnsi="Arial" w:cs="Arial"/>
          <w:color w:val="2E74B5" w:themeColor="accent1" w:themeShade="BF"/>
          <w:sz w:val="24"/>
          <w:szCs w:val="24"/>
        </w:rPr>
        <w:t>precisamente la evaluación de la calidad</w:t>
      </w:r>
      <w:r w:rsidR="00A468F7">
        <w:rPr>
          <w:rFonts w:ascii="Arial" w:hAnsi="Arial" w:cs="Arial"/>
          <w:color w:val="2E74B5" w:themeColor="accent1" w:themeShade="BF"/>
          <w:sz w:val="24"/>
          <w:szCs w:val="24"/>
        </w:rPr>
        <w:t xml:space="preserve"> y la satisfacción con una inicial conceptualización de valor, a entrar a medir con metodología el valor percibido</w:t>
      </w:r>
      <w:r w:rsidR="00E073A6">
        <w:rPr>
          <w:rFonts w:ascii="Arial" w:hAnsi="Arial" w:cs="Arial"/>
          <w:color w:val="2E74B5" w:themeColor="accent1" w:themeShade="BF"/>
          <w:sz w:val="24"/>
          <w:szCs w:val="24"/>
        </w:rPr>
        <w:t xml:space="preserve">, </w:t>
      </w:r>
      <w:r w:rsidR="00A468F7">
        <w:rPr>
          <w:rFonts w:ascii="Arial" w:hAnsi="Arial" w:cs="Arial"/>
          <w:color w:val="2E74B5" w:themeColor="accent1" w:themeShade="BF"/>
          <w:sz w:val="24"/>
          <w:szCs w:val="24"/>
        </w:rPr>
        <w:t xml:space="preserve">que </w:t>
      </w:r>
      <w:r w:rsidR="00E073A6">
        <w:rPr>
          <w:rFonts w:ascii="Arial" w:hAnsi="Arial" w:cs="Arial"/>
          <w:color w:val="2E74B5" w:themeColor="accent1" w:themeShade="BF"/>
          <w:sz w:val="24"/>
          <w:szCs w:val="24"/>
        </w:rPr>
        <w:t xml:space="preserve">toma </w:t>
      </w:r>
      <w:r w:rsidR="00A468F7">
        <w:rPr>
          <w:rFonts w:ascii="Arial" w:hAnsi="Arial" w:cs="Arial"/>
          <w:color w:val="2E74B5" w:themeColor="accent1" w:themeShade="BF"/>
          <w:sz w:val="24"/>
          <w:szCs w:val="24"/>
        </w:rPr>
        <w:t xml:space="preserve">fuerza en el 2000 </w:t>
      </w:r>
      <w:r w:rsidR="00A468F7">
        <w:rPr>
          <w:rFonts w:ascii="Arial" w:hAnsi="Arial" w:cs="Arial"/>
          <w:color w:val="2E74B5" w:themeColor="accent1" w:themeShade="BF"/>
          <w:sz w:val="24"/>
          <w:szCs w:val="24"/>
        </w:rPr>
        <w:fldChar w:fldCharType="begin" w:fldLock="1"/>
      </w:r>
      <w:r w:rsidR="004116AA">
        <w:rPr>
          <w:rFonts w:ascii="Arial" w:hAnsi="Arial" w:cs="Arial"/>
          <w:color w:val="2E74B5" w:themeColor="accent1" w:themeShade="BF"/>
          <w:sz w:val="24"/>
          <w:szCs w:val="24"/>
        </w:rPr>
        <w:instrText>ADDIN CSL_CITATION { "citationItems" : [ { "id" : "ITEM-1", "itemData" : { "ISSN" : "1138-1442", "abstract" : "El valor percibido ha sido reconocido como una variable clave en los \u00faltimos a\u00f1os tanto en la lite\u0002ratura acad\u00e9mica como profesional. Sin embargo, en su investigaci\u00f3n se ha denunciado la existencia de un importante desajuste entre la riqueza con\u0002ceptual del constructo y su operativizaci\u00f3n. En este trabajo se busca reducir este desajuste al tratar de operativizar la tipolog\u00eda de valor de HOLBROOK (1999), una de las propuestas m\u00e1s ricas de dimen\u0002sionalidad del valor. Para ello, se realiza en primer lugar una revisi\u00f3n te\u00f3rica en la que, por un lado, se evidencian las dificultades que rodean la investiga\u0002ci\u00f3n del valor, y por otro se estudian las definicio\u0002nes y tipolog\u00edas m\u00e1s usuales, resaltando la necesi\u0002dad de definir el valor como equilibrio entre bene\u0002ficios y sacrificios. En segundo lugar, se propone una secuencia metodol\u00f3gica de validaci\u00f3n de una escala multidimensional de valor de ocho elemen\u0002tos: la eficiencia, la calidad, el valor social, el entretenimiento y la est\u00e9tica como beneficios y el coste monetario, el riesgo percibido y el tiempo y esfuerzo invertidos como costes. Su aplicaci\u00f3n a una experiencia de servicio (turismo) ha demostrado que dicha estructura de la dimensionalidad de valor es estable, aunque se hacen necesarios esfuerzos de r\u00e9plica para mejorar su robustez.", "author" : [ { "dropping-particle" : "", "family" : "Gallarza", "given" : "Martina G.", "non-dropping-particle" : "", "parse-names" : false, "suffix" : "" }, { "dropping-particle" : "", "family" : "Gil Saura", "given" : "Irene", "non-dropping-particle" : "", "parse-names" : false, "suffix" : "" } ], "container-title" : "Revista Espa\u00f1ola de Investigaci\u00f3n de Marketing", "id" : "ITEM-1", "issued" : { "date-parts" : [ [ "2006" ] ] }, "page" : "25-59", "title" : "Desarrollo de una escala multidimensional para medir el valor percibido de una experiencia de servicio", "type" : "article-journal" }, "uris" : [ "http://www.mendeley.com/documents/?uuid=cfed3a9f-e50e-4336-b983-2ab65d49830a" ] } ], "mendeley" : { "formattedCitation" : "(Gallarza &amp; Gil Saura, 2006)", "plainTextFormattedCitation" : "(Gallarza &amp; Gil Saura, 2006)", "previouslyFormattedCitation" : "(Gallarza &amp; Gil Saura, 2006)" }, "properties" : { "noteIndex" : 0 }, "schema" : "https://github.com/citation-style-language/schema/raw/master/csl-citation.json" }</w:instrText>
      </w:r>
      <w:r w:rsidR="00A468F7">
        <w:rPr>
          <w:rFonts w:ascii="Arial" w:hAnsi="Arial" w:cs="Arial"/>
          <w:color w:val="2E74B5" w:themeColor="accent1" w:themeShade="BF"/>
          <w:sz w:val="24"/>
          <w:szCs w:val="24"/>
        </w:rPr>
        <w:fldChar w:fldCharType="separate"/>
      </w:r>
      <w:r w:rsidR="00A468F7" w:rsidRPr="00A468F7">
        <w:rPr>
          <w:rFonts w:ascii="Arial" w:hAnsi="Arial" w:cs="Arial"/>
          <w:noProof/>
          <w:color w:val="2E74B5" w:themeColor="accent1" w:themeShade="BF"/>
          <w:sz w:val="24"/>
          <w:szCs w:val="24"/>
        </w:rPr>
        <w:t>(Gallarza &amp; Gil Saura, 2006)</w:t>
      </w:r>
      <w:r w:rsidR="00A468F7">
        <w:rPr>
          <w:rFonts w:ascii="Arial" w:hAnsi="Arial" w:cs="Arial"/>
          <w:color w:val="2E74B5" w:themeColor="accent1" w:themeShade="BF"/>
          <w:sz w:val="24"/>
          <w:szCs w:val="24"/>
        </w:rPr>
        <w:fldChar w:fldCharType="end"/>
      </w:r>
      <w:r w:rsidR="00A468F7">
        <w:rPr>
          <w:rFonts w:ascii="Arial" w:hAnsi="Arial" w:cs="Arial"/>
          <w:color w:val="2E74B5" w:themeColor="accent1" w:themeShade="BF"/>
          <w:sz w:val="24"/>
          <w:szCs w:val="24"/>
        </w:rPr>
        <w:t xml:space="preserve">. </w:t>
      </w:r>
      <w:r w:rsidR="00FB46B6">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Es claro que el sector necesita medir además de la satisfacción, e independiente de las normas y regulaciones que los rigen, el valor que le dan los clientes a sus empresas, a sus servicios, a la calidad y al resultado final de lo que ofrecen y atienden, teniendo como base que la satisfacción es diferente del valor percibido </w:t>
      </w:r>
      <w:r w:rsidRPr="00093A89">
        <w:rPr>
          <w:rFonts w:ascii="Arial" w:hAnsi="Arial" w:cs="Arial"/>
          <w:color w:val="2E74B5" w:themeColor="accent1" w:themeShade="BF"/>
          <w:sz w:val="24"/>
          <w:szCs w:val="24"/>
        </w:rPr>
        <w:fldChar w:fldCharType="begin" w:fldLock="1"/>
      </w:r>
      <w:r w:rsidR="00431BA7">
        <w:rPr>
          <w:rFonts w:ascii="Arial" w:hAnsi="Arial" w:cs="Arial"/>
          <w:color w:val="2E74B5" w:themeColor="accent1" w:themeShade="BF"/>
          <w:sz w:val="24"/>
          <w:szCs w:val="24"/>
        </w:rPr>
        <w:instrText>ADDIN CSL_CITATION { "citationItems" : [ { "id" : "ITEM-1", "itemData" : { "DOI" : "10.1016/S0022-4359(01)00041-0", "abstract" : "Value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 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 \u00a9 2001 by New York University. All rights reserved.", "author" : [ { "dropping-particle" : "", "family" : "Sweeney", "given" : "J C", "non-dropping-particle" : "", "parse-names" : false, "suffix" : "" }, { "dropping-particle" : "", "family" : "Soutar", "given" : "G N", "non-dropping-particle" : "", "parse-names" : false, "suffix" : "" } ], "container-title" : "Journal of Retailing", "id" : "ITEM-1", "issue" : "2", "issued" : { "date-parts" : [ [ "2001" ] ] }, "note" : "Cited By :826\n\nExport Date: 3 September 2015", "page" : "203-220", "title" : "Consumer perceived value: The development of a multiple item scale", "type" : "article-journal", "volume" : "77" }, "uris" : [ "http://www.mendeley.com/documents/?uuid=8d341a46-8ba2-4038-b14c-7bd526623cbd" ] } ], "mendeley" : { "formattedCitation" : "(Sweeney &amp; Soutar, 2001)", "plainTextFormattedCitation" : "(Sweeney &amp; Soutar, 2001)", "previouslyFormattedCitation" : "(Sweeney &amp; Soutar, 2001)"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(Sweeney &amp; Soutar, 2001)</w:t>
      </w:r>
      <w:r w:rsidRPr="00093A89">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 xml:space="preserve">. El actual enfoque al consumidor así lo exige y este sector de la economía no debe ser la excepción. Por esto, </w:t>
      </w:r>
      <w:r w:rsidR="00FA4ADC">
        <w:rPr>
          <w:rFonts w:ascii="Arial" w:hAnsi="Arial" w:cs="Arial"/>
          <w:color w:val="2E74B5" w:themeColor="accent1" w:themeShade="BF"/>
          <w:sz w:val="24"/>
          <w:szCs w:val="24"/>
        </w:rPr>
        <w:t xml:space="preserve">el </w:t>
      </w:r>
      <w:r w:rsidRPr="00093A89">
        <w:rPr>
          <w:rFonts w:ascii="Arial" w:hAnsi="Arial" w:cs="Arial"/>
          <w:color w:val="2E74B5" w:themeColor="accent1" w:themeShade="BF"/>
          <w:sz w:val="24"/>
          <w:szCs w:val="24"/>
        </w:rPr>
        <w:t xml:space="preserve"> objetivo </w:t>
      </w:r>
      <w:r w:rsidR="00FA4ADC">
        <w:rPr>
          <w:rFonts w:ascii="Arial" w:hAnsi="Arial" w:cs="Arial"/>
          <w:color w:val="2E74B5" w:themeColor="accent1" w:themeShade="BF"/>
          <w:sz w:val="24"/>
          <w:szCs w:val="24"/>
        </w:rPr>
        <w:t>del presente estudio consiste en</w:t>
      </w:r>
      <w:r w:rsidRPr="00093A89">
        <w:rPr>
          <w:rFonts w:ascii="Arial" w:hAnsi="Arial" w:cs="Arial"/>
          <w:color w:val="2E74B5" w:themeColor="accent1" w:themeShade="BF"/>
          <w:sz w:val="24"/>
          <w:szCs w:val="24"/>
        </w:rPr>
        <w:t xml:space="preserve"> identificar el valor percibido de los clientes que utilizan los servicios de seguridad privada en Colombia. Para ello es importante referenciar temas como </w:t>
      </w:r>
      <w:r w:rsidR="00035E8E">
        <w:rPr>
          <w:rFonts w:ascii="Arial" w:hAnsi="Arial" w:cs="Arial"/>
          <w:color w:val="2E74B5" w:themeColor="accent1" w:themeShade="BF"/>
          <w:sz w:val="24"/>
          <w:szCs w:val="24"/>
        </w:rPr>
        <w:t xml:space="preserve">la relación </w:t>
      </w:r>
      <w:r w:rsidRPr="00093A89">
        <w:rPr>
          <w:rFonts w:ascii="Arial" w:hAnsi="Arial" w:cs="Arial"/>
          <w:color w:val="2E74B5" w:themeColor="accent1" w:themeShade="BF"/>
          <w:sz w:val="24"/>
          <w:szCs w:val="24"/>
        </w:rPr>
        <w:t>calidad</w:t>
      </w:r>
      <w:r w:rsidR="00035E8E">
        <w:rPr>
          <w:rFonts w:ascii="Arial" w:hAnsi="Arial" w:cs="Arial"/>
          <w:color w:val="2E74B5" w:themeColor="accent1" w:themeShade="BF"/>
          <w:sz w:val="24"/>
          <w:szCs w:val="24"/>
        </w:rPr>
        <w:t xml:space="preserve"> versus </w:t>
      </w:r>
      <w:r w:rsidRPr="00093A89">
        <w:rPr>
          <w:rFonts w:ascii="Arial" w:hAnsi="Arial" w:cs="Arial"/>
          <w:color w:val="2E74B5" w:themeColor="accent1" w:themeShade="BF"/>
          <w:sz w:val="24"/>
          <w:szCs w:val="24"/>
        </w:rPr>
        <w:t>precio</w:t>
      </w:r>
      <w:r w:rsidR="00035E8E">
        <w:rPr>
          <w:rFonts w:ascii="Arial" w:hAnsi="Arial" w:cs="Arial"/>
          <w:color w:val="2E74B5" w:themeColor="accent1" w:themeShade="BF"/>
          <w:sz w:val="24"/>
          <w:szCs w:val="24"/>
        </w:rPr>
        <w:t>,</w:t>
      </w:r>
      <w:r w:rsidRPr="00093A89">
        <w:rPr>
          <w:rFonts w:ascii="Arial" w:hAnsi="Arial" w:cs="Arial"/>
          <w:color w:val="2E74B5" w:themeColor="accent1" w:themeShade="BF"/>
          <w:sz w:val="24"/>
          <w:szCs w:val="24"/>
        </w:rPr>
        <w:t xml:space="preserve"> en </w:t>
      </w:r>
      <w:r w:rsidR="00035E8E">
        <w:rPr>
          <w:rFonts w:ascii="Arial" w:hAnsi="Arial" w:cs="Arial"/>
          <w:color w:val="2E74B5" w:themeColor="accent1" w:themeShade="BF"/>
          <w:sz w:val="24"/>
          <w:szCs w:val="24"/>
        </w:rPr>
        <w:t xml:space="preserve">la </w:t>
      </w:r>
      <w:r w:rsidRPr="00093A89">
        <w:rPr>
          <w:rFonts w:ascii="Arial" w:hAnsi="Arial" w:cs="Arial"/>
          <w:color w:val="2E74B5" w:themeColor="accent1" w:themeShade="BF"/>
          <w:sz w:val="24"/>
          <w:szCs w:val="24"/>
        </w:rPr>
        <w:t xml:space="preserve">que el </w:t>
      </w:r>
      <w:r w:rsidR="00035E8E">
        <w:rPr>
          <w:rFonts w:ascii="Arial" w:hAnsi="Arial" w:cs="Arial"/>
          <w:color w:val="2E74B5" w:themeColor="accent1" w:themeShade="BF"/>
          <w:sz w:val="24"/>
          <w:szCs w:val="24"/>
        </w:rPr>
        <w:t xml:space="preserve">último es </w:t>
      </w:r>
      <w:r w:rsidR="002130D5">
        <w:rPr>
          <w:rFonts w:ascii="Arial" w:hAnsi="Arial" w:cs="Arial"/>
          <w:color w:val="2E74B5" w:themeColor="accent1" w:themeShade="BF"/>
          <w:sz w:val="24"/>
          <w:szCs w:val="24"/>
        </w:rPr>
        <w:t xml:space="preserve">el principal </w:t>
      </w:r>
      <w:r w:rsidRPr="00093A89">
        <w:rPr>
          <w:rFonts w:ascii="Arial" w:hAnsi="Arial" w:cs="Arial"/>
          <w:color w:val="2E74B5" w:themeColor="accent1" w:themeShade="BF"/>
          <w:sz w:val="24"/>
          <w:szCs w:val="24"/>
        </w:rPr>
        <w:t xml:space="preserve">diferenciador en la </w:t>
      </w:r>
      <w:r w:rsidRPr="00093A89">
        <w:rPr>
          <w:rFonts w:ascii="Arial" w:hAnsi="Arial" w:cs="Arial"/>
          <w:color w:val="2E74B5" w:themeColor="accent1" w:themeShade="BF"/>
          <w:sz w:val="24"/>
          <w:szCs w:val="24"/>
        </w:rPr>
        <w:lastRenderedPageBreak/>
        <w:t>percepción de la calidad y</w:t>
      </w:r>
      <w:r w:rsidR="002130D5">
        <w:rPr>
          <w:rFonts w:ascii="Arial" w:hAnsi="Arial" w:cs="Arial"/>
          <w:color w:val="2E74B5" w:themeColor="accent1" w:themeShade="BF"/>
          <w:sz w:val="24"/>
          <w:szCs w:val="24"/>
        </w:rPr>
        <w:t>,</w:t>
      </w:r>
      <w:r w:rsidRPr="00093A89">
        <w:rPr>
          <w:rFonts w:ascii="Arial" w:hAnsi="Arial" w:cs="Arial"/>
          <w:color w:val="2E74B5" w:themeColor="accent1" w:themeShade="BF"/>
          <w:sz w:val="24"/>
          <w:szCs w:val="24"/>
        </w:rPr>
        <w:t xml:space="preserve"> la emocionalidad en la predicción de la disposición de compra </w:t>
      </w:r>
      <w:r w:rsidRPr="00093A89">
        <w:rPr>
          <w:rFonts w:ascii="Arial" w:hAnsi="Arial" w:cs="Arial"/>
          <w:color w:val="2E74B5" w:themeColor="accent1" w:themeShade="BF"/>
          <w:sz w:val="24"/>
          <w:szCs w:val="24"/>
        </w:rPr>
        <w:fldChar w:fldCharType="begin" w:fldLock="1"/>
      </w:r>
      <w:r w:rsidR="00431BA7">
        <w:rPr>
          <w:rFonts w:ascii="Arial" w:hAnsi="Arial" w:cs="Arial"/>
          <w:color w:val="2E74B5" w:themeColor="accent1" w:themeShade="BF"/>
          <w:sz w:val="24"/>
          <w:szCs w:val="24"/>
        </w:rPr>
        <w:instrText>ADDIN CSL_CITATION { "citationItems" : [ { "id" : "ITEM-1", "itemData" : { "DOI" : "10.1016/S0022-4359(01)00041-0", "abstract" : "Value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 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 \u00a9 2001 by New York University. All rights reserved.", "author" : [ { "dropping-particle" : "", "family" : "Sweeney", "given" : "J C", "non-dropping-particle" : "", "parse-names" : false, "suffix" : "" }, { "dropping-particle" : "", "family" : "Soutar", "given" : "G N", "non-dropping-particle" : "", "parse-names" : false, "suffix" : "" } ], "container-title" : "Journal of Retailing", "id" : "ITEM-1", "issue" : "2", "issued" : { "date-parts" : [ [ "2001" ] ] }, "note" : "Cited By :826\n\nExport Date: 3 September 2015", "page" : "203-220", "title" : "Consumer perceived value: The development of a multiple item scale", "type" : "article-journal", "volume" : "77" }, "uris" : [ "http://www.mendeley.com/documents/?uuid=f134dc98-a58a-43cc-8b62-3ed3115fc815", "http://www.mendeley.com/documents/?uuid=8d341a46-8ba2-4038-b14c-7bd526623cbd" ] } ], "mendeley" : { "formattedCitation" : "(Sweeney &amp; Soutar, 2001)", "plainTextFormattedCitation" : "(Sweeney &amp; Soutar, 2001)", "previouslyFormattedCitation" : "(Sweeney &amp; Soutar, 2001)"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(Sweeney &amp; Soutar, 2001)</w:t>
      </w:r>
      <w:r w:rsidRPr="00093A89">
        <w:rPr>
          <w:rFonts w:ascii="Arial" w:hAnsi="Arial" w:cs="Arial"/>
          <w:color w:val="2E74B5" w:themeColor="accent1" w:themeShade="BF"/>
          <w:sz w:val="24"/>
          <w:szCs w:val="24"/>
        </w:rPr>
        <w:fldChar w:fldCharType="end"/>
      </w:r>
      <w:r w:rsidRPr="00093A89">
        <w:rPr>
          <w:rFonts w:ascii="Arial" w:hAnsi="Arial" w:cs="Arial"/>
          <w:color w:val="2E74B5" w:themeColor="accent1" w:themeShade="BF"/>
          <w:sz w:val="24"/>
          <w:szCs w:val="24"/>
        </w:rPr>
        <w:t>, además de profundizar en las dimensiones sugeridas por estos autores: Emocional, social, funcional; siendo, como allí se menciona</w:t>
      </w:r>
      <w:r w:rsidRPr="00093A89">
        <w:rPr>
          <w:rFonts w:ascii="Arial" w:hAnsi="Arial" w:cs="Arial"/>
          <w:i/>
          <w:color w:val="2E74B5" w:themeColor="accent1" w:themeShade="BF"/>
          <w:sz w:val="24"/>
          <w:szCs w:val="24"/>
        </w:rPr>
        <w:t xml:space="preserve">: </w:t>
      </w:r>
    </w:p>
    <w:p w14:paraId="23E09ECD" w14:textId="487B0B2B" w:rsidR="00093A89" w:rsidRPr="00093A89" w:rsidRDefault="00093A89" w:rsidP="00093A89">
      <w:pPr>
        <w:ind w:left="708"/>
        <w:jc w:val="both"/>
        <w:rPr>
          <w:rFonts w:ascii="Arial" w:hAnsi="Arial" w:cs="Arial"/>
          <w:i/>
          <w:color w:val="2E74B5" w:themeColor="accent1" w:themeShade="BF"/>
          <w:sz w:val="24"/>
          <w:szCs w:val="24"/>
        </w:rPr>
      </w:pPr>
      <w:r w:rsidRPr="00093A89">
        <w:rPr>
          <w:rFonts w:ascii="Arial" w:hAnsi="Arial" w:cs="Arial"/>
          <w:i/>
          <w:color w:val="2E74B5" w:themeColor="accent1" w:themeShade="BF"/>
          <w:sz w:val="24"/>
          <w:szCs w:val="24"/>
        </w:rPr>
        <w:t xml:space="preserve">“la calidad y el valor emocional eran más importante para explicar la percepción”. </w:t>
      </w:r>
      <w:r w:rsidRPr="00093A89">
        <w:rPr>
          <w:rFonts w:ascii="Arial" w:hAnsi="Arial" w:cs="Arial"/>
          <w:i/>
          <w:color w:val="2E74B5" w:themeColor="accent1" w:themeShade="BF"/>
          <w:sz w:val="24"/>
          <w:szCs w:val="24"/>
        </w:rPr>
        <w:fldChar w:fldCharType="begin" w:fldLock="1"/>
      </w:r>
      <w:r w:rsidR="00431BA7">
        <w:rPr>
          <w:rFonts w:ascii="Arial" w:hAnsi="Arial" w:cs="Arial"/>
          <w:i/>
          <w:color w:val="2E74B5" w:themeColor="accent1" w:themeShade="BF"/>
          <w:sz w:val="24"/>
          <w:szCs w:val="24"/>
        </w:rPr>
        <w:instrText>ADDIN CSL_CITATION { "citationItems" : [ { "id" : "ITEM-1", "itemData" : { "DOI" : "10.1016/S0022-4359(01)00041-0", "abstract" : "Value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 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 \u00a9 2001 by New York University. All rights reserved.", "author" : [ { "dropping-particle" : "", "family" : "Sweeney", "given" : "J C", "non-dropping-particle" : "", "parse-names" : false, "suffix" : "" }, { "dropping-particle" : "", "family" : "Soutar", "given" : "G N", "non-dropping-particle" : "", "parse-names" : false, "suffix" : "" } ], "container-title" : "Journal of Retailing", "id" : "ITEM-1", "issue" : "2", "issued" : { "date-parts" : [ [ "2001" ] ] }, "note" : "Cited By :826\n\nExport Date: 3 September 2015", "page" : "203-220", "title" : "Consumer perceived value: The development of a multiple item scale", "type" : "article-journal", "volume" : "77" }, "uris" : [ "http://www.mendeley.com/documents/?uuid=8d341a46-8ba2-4038-b14c-7bd526623cbd" ] } ], "mendeley" : { "formattedCitation" : "(Sweeney &amp; Soutar, 2001)", "plainTextFormattedCitation" : "(Sweeney &amp; Soutar, 2001)", "previouslyFormattedCitation" : "(Sweeney &amp; Soutar, 2001)"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093A89">
        <w:rPr>
          <w:rFonts w:ascii="Arial" w:hAnsi="Arial" w:cs="Arial"/>
          <w:noProof/>
          <w:color w:val="2E74B5" w:themeColor="accent1" w:themeShade="BF"/>
          <w:sz w:val="24"/>
          <w:szCs w:val="24"/>
        </w:rPr>
        <w:t>(Sweeney &amp; Soutar, 2001)</w:t>
      </w:r>
      <w:r w:rsidRPr="00093A89">
        <w:rPr>
          <w:rFonts w:ascii="Arial" w:hAnsi="Arial" w:cs="Arial"/>
          <w:i/>
          <w:color w:val="2E74B5" w:themeColor="accent1" w:themeShade="BF"/>
          <w:sz w:val="24"/>
          <w:szCs w:val="24"/>
        </w:rPr>
        <w:fldChar w:fldCharType="end"/>
      </w:r>
    </w:p>
    <w:p w14:paraId="511423D5" w14:textId="5403D97F" w:rsidR="00093A89" w:rsidRP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No obstante,</w:t>
      </w:r>
      <w:r w:rsidR="00035E8E">
        <w:rPr>
          <w:rFonts w:ascii="Arial" w:hAnsi="Arial" w:cs="Arial"/>
          <w:color w:val="2E74B5" w:themeColor="accent1" w:themeShade="BF"/>
          <w:sz w:val="24"/>
          <w:szCs w:val="24"/>
        </w:rPr>
        <w:t xml:space="preserve"> la literatura revela que la escala con la que se aborda el valor percibido - </w:t>
      </w:r>
      <w:r w:rsidRPr="00093A89">
        <w:rPr>
          <w:rFonts w:ascii="Arial" w:hAnsi="Arial" w:cs="Arial"/>
          <w:color w:val="2E74B5" w:themeColor="accent1" w:themeShade="BF"/>
          <w:sz w:val="24"/>
          <w:szCs w:val="24"/>
        </w:rPr>
        <w:t>PERVAL</w:t>
      </w:r>
      <w:r w:rsidR="00035E8E">
        <w:rPr>
          <w:rFonts w:ascii="Arial" w:hAnsi="Arial" w:cs="Arial"/>
          <w:color w:val="2E74B5" w:themeColor="accent1" w:themeShade="BF"/>
          <w:sz w:val="24"/>
          <w:szCs w:val="24"/>
        </w:rPr>
        <w:t xml:space="preserve"> – </w:t>
      </w:r>
      <w:r w:rsidR="000C1C14">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no responde con precisión </w:t>
      </w:r>
      <w:r w:rsidR="00035E8E">
        <w:rPr>
          <w:rFonts w:ascii="Arial" w:hAnsi="Arial" w:cs="Arial"/>
          <w:color w:val="2E74B5" w:themeColor="accent1" w:themeShade="BF"/>
          <w:sz w:val="24"/>
          <w:szCs w:val="24"/>
        </w:rPr>
        <w:t xml:space="preserve">a dichas percepciones en </w:t>
      </w:r>
      <w:r w:rsidRPr="00093A89">
        <w:rPr>
          <w:rFonts w:ascii="Arial" w:hAnsi="Arial" w:cs="Arial"/>
          <w:color w:val="2E74B5" w:themeColor="accent1" w:themeShade="BF"/>
          <w:sz w:val="24"/>
          <w:szCs w:val="24"/>
        </w:rPr>
        <w:t>todos los ámbitos</w:t>
      </w:r>
      <w:r w:rsidR="00035E8E">
        <w:rPr>
          <w:rFonts w:ascii="Arial" w:hAnsi="Arial" w:cs="Arial"/>
          <w:color w:val="2E74B5" w:themeColor="accent1" w:themeShade="BF"/>
          <w:sz w:val="24"/>
          <w:szCs w:val="24"/>
        </w:rPr>
        <w:t>. De hecho,</w:t>
      </w:r>
      <w:r w:rsidR="0007531B">
        <w:rPr>
          <w:rFonts w:ascii="Arial" w:hAnsi="Arial" w:cs="Arial"/>
          <w:color w:val="2E74B5" w:themeColor="accent1" w:themeShade="BF"/>
          <w:sz w:val="24"/>
          <w:szCs w:val="24"/>
        </w:rPr>
        <w:t xml:space="preserve"> </w:t>
      </w:r>
      <w:r w:rsidR="00035E8E">
        <w:rPr>
          <w:rFonts w:ascii="Arial" w:hAnsi="Arial" w:cs="Arial"/>
          <w:color w:val="2E74B5" w:themeColor="accent1" w:themeShade="BF"/>
          <w:sz w:val="24"/>
          <w:szCs w:val="24"/>
        </w:rPr>
        <w:t xml:space="preserve">en </w:t>
      </w:r>
      <w:r w:rsidRPr="00093A89">
        <w:rPr>
          <w:rFonts w:ascii="Arial" w:hAnsi="Arial" w:cs="Arial"/>
          <w:color w:val="2E74B5" w:themeColor="accent1" w:themeShade="BF"/>
          <w:sz w:val="24"/>
          <w:szCs w:val="24"/>
        </w:rPr>
        <w:t>el entorno web</w:t>
      </w:r>
      <w:r w:rsidR="00035E8E">
        <w:rPr>
          <w:rFonts w:ascii="Arial" w:hAnsi="Arial" w:cs="Arial"/>
          <w:color w:val="2E74B5" w:themeColor="accent1" w:themeShade="BF"/>
          <w:sz w:val="24"/>
          <w:szCs w:val="24"/>
        </w:rPr>
        <w:t xml:space="preserve"> se presenta la escala </w:t>
      </w:r>
      <w:r w:rsidR="00035E8E" w:rsidRPr="00093A89">
        <w:rPr>
          <w:rFonts w:ascii="Arial" w:hAnsi="Arial" w:cs="Arial"/>
          <w:color w:val="2E74B5" w:themeColor="accent1" w:themeShade="BF"/>
          <w:sz w:val="24"/>
          <w:szCs w:val="24"/>
        </w:rPr>
        <w:t xml:space="preserve">VALCONEX </w:t>
      </w:r>
      <w:r w:rsidR="00035E8E">
        <w:rPr>
          <w:rFonts w:ascii="Arial" w:hAnsi="Arial" w:cs="Arial"/>
          <w:color w:val="2E74B5" w:themeColor="accent1" w:themeShade="BF"/>
          <w:sz w:val="24"/>
          <w:szCs w:val="24"/>
        </w:rPr>
        <w:t xml:space="preserve">que presenta otras dimensiones relevantes a ser evaluadas, dadas las particularidades de éste ámbito </w:t>
      </w:r>
      <w:r w:rsidRPr="00093A89">
        <w:rPr>
          <w:rFonts w:ascii="Arial" w:hAnsi="Arial" w:cs="Arial"/>
          <w:color w:val="2E74B5" w:themeColor="accent1" w:themeShade="BF"/>
          <w:sz w:val="24"/>
          <w:szCs w:val="24"/>
        </w:rPr>
        <w:fldChar w:fldCharType="begin" w:fldLock="1"/>
      </w:r>
      <w:r w:rsidR="00431BA7">
        <w:rPr>
          <w:rFonts w:ascii="Arial" w:hAnsi="Arial" w:cs="Arial"/>
          <w:color w:val="2E74B5" w:themeColor="accent1" w:themeShade="BF"/>
          <w:sz w:val="24"/>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"Helkkulla, Anu &amp; Pihlstrom", "given" : "Minna", "non-dropping-particle" : "", "parse-names" : false, "suffix" : "" } ], "container-title" : "Journal of Chemical Information and Modeling", "id" : "ITEM-1", "issued" : { "date-parts" : [ [ "2013" ] ] }, "page" : "1689-1699", "title" : "From Customer Perceived Value (PERVAL) to Value-in-Context Experience (VALCONEX)", "type" : "article-journal", "volume" : "53" }, "uris" : [ "http://www.mendeley.com/documents/?uuid=b8bc3e4f-c8d6-4b9f-b6dc-4fb47bcaeeb0" ] } ], "mendeley" : { "formattedCitation" : "(Helkkulla, Anu &amp; Pihlstrom, 2013)", "plainTextFormattedCitation" : "(Helkkulla, Anu &amp; Pihlstrom, 2013)", "previouslyFormattedCitation" : "(Helkkulla, Anu &amp; Pihlstrom, 2013)" }, "properties" : { "noteIndex" : 0 }, "schema" : "https://github.com/citation-style-language/schema/raw/master/csl-citation.json" }</w:instrText>
      </w:r>
      <w:r w:rsidRPr="00093A89">
        <w:rPr>
          <w:rFonts w:ascii="Arial" w:hAnsi="Arial" w:cs="Arial"/>
          <w:color w:val="2E74B5" w:themeColor="accent1" w:themeShade="BF"/>
          <w:sz w:val="24"/>
          <w:szCs w:val="24"/>
        </w:rPr>
        <w:fldChar w:fldCharType="separate"/>
      </w:r>
      <w:r w:rsidRPr="00093A89">
        <w:rPr>
          <w:rFonts w:ascii="Arial" w:hAnsi="Arial" w:cs="Arial"/>
          <w:noProof/>
          <w:color w:val="2E74B5" w:themeColor="accent1" w:themeShade="BF"/>
          <w:sz w:val="24"/>
          <w:szCs w:val="24"/>
        </w:rPr>
        <w:t>(Helkkulla, Anu &amp; Pihlstrom, 2013)</w:t>
      </w:r>
      <w:r w:rsidRPr="00093A89">
        <w:rPr>
          <w:rFonts w:ascii="Arial" w:hAnsi="Arial" w:cs="Arial"/>
          <w:color w:val="2E74B5" w:themeColor="accent1" w:themeShade="BF"/>
          <w:sz w:val="24"/>
          <w:szCs w:val="24"/>
        </w:rPr>
        <w:fldChar w:fldCharType="end"/>
      </w:r>
      <w:r w:rsidR="00035E8E">
        <w:rPr>
          <w:rFonts w:ascii="Arial" w:hAnsi="Arial" w:cs="Arial"/>
          <w:color w:val="2E74B5" w:themeColor="accent1" w:themeShade="BF"/>
          <w:sz w:val="24"/>
          <w:szCs w:val="24"/>
        </w:rPr>
        <w:t xml:space="preserve">. Dada esta consideración y </w:t>
      </w:r>
      <w:r w:rsidR="0007531B">
        <w:rPr>
          <w:rFonts w:ascii="Arial" w:hAnsi="Arial" w:cs="Arial"/>
          <w:color w:val="2E74B5" w:themeColor="accent1" w:themeShade="BF"/>
          <w:sz w:val="24"/>
          <w:szCs w:val="24"/>
        </w:rPr>
        <w:t xml:space="preserve">debido a </w:t>
      </w:r>
      <w:r w:rsidR="00035E8E">
        <w:rPr>
          <w:rFonts w:ascii="Arial" w:hAnsi="Arial" w:cs="Arial"/>
          <w:color w:val="2E74B5" w:themeColor="accent1" w:themeShade="BF"/>
          <w:sz w:val="24"/>
          <w:szCs w:val="24"/>
        </w:rPr>
        <w:t xml:space="preserve">que no hay evidencia de </w:t>
      </w:r>
      <w:r w:rsidRPr="00093A89">
        <w:rPr>
          <w:rFonts w:ascii="Arial" w:hAnsi="Arial" w:cs="Arial"/>
          <w:color w:val="2E74B5" w:themeColor="accent1" w:themeShade="BF"/>
          <w:sz w:val="24"/>
          <w:szCs w:val="24"/>
        </w:rPr>
        <w:t xml:space="preserve">validaciones empíricas </w:t>
      </w:r>
      <w:r w:rsidR="00035E8E">
        <w:rPr>
          <w:rFonts w:ascii="Arial" w:hAnsi="Arial" w:cs="Arial"/>
          <w:color w:val="2E74B5" w:themeColor="accent1" w:themeShade="BF"/>
          <w:sz w:val="24"/>
          <w:szCs w:val="24"/>
        </w:rPr>
        <w:t>de este concepto en el ámbito de interés</w:t>
      </w:r>
      <w:r w:rsidRPr="00093A89">
        <w:rPr>
          <w:rFonts w:ascii="Arial" w:hAnsi="Arial" w:cs="Arial"/>
          <w:color w:val="2E74B5" w:themeColor="accent1" w:themeShade="BF"/>
          <w:sz w:val="24"/>
          <w:szCs w:val="24"/>
        </w:rPr>
        <w:t xml:space="preserve">, como lo mencionan en </w:t>
      </w:r>
      <w:r w:rsidRPr="00093A89">
        <w:rPr>
          <w:rFonts w:ascii="Arial" w:hAnsi="Arial" w:cs="Arial"/>
          <w:i/>
          <w:color w:val="2E74B5" w:themeColor="accent1" w:themeShade="BF"/>
          <w:sz w:val="24"/>
          <w:szCs w:val="24"/>
        </w:rPr>
        <w:t>“</w:t>
      </w:r>
      <w:r w:rsidR="0007531B">
        <w:rPr>
          <w:rFonts w:ascii="Arial" w:hAnsi="Arial" w:cs="Arial"/>
          <w:i/>
          <w:color w:val="2E74B5" w:themeColor="accent1" w:themeShade="BF"/>
          <w:sz w:val="24"/>
          <w:szCs w:val="24"/>
        </w:rPr>
        <w:t>Lógica de servicio: Quien crea valor? y quién lo co-crea?</w:t>
      </w:r>
      <w:r w:rsidRPr="0007531B">
        <w:rPr>
          <w:rFonts w:ascii="Arial" w:hAnsi="Arial" w:cs="Arial"/>
          <w:i/>
          <w:color w:val="2E74B5" w:themeColor="accent1" w:themeShade="BF"/>
          <w:sz w:val="24"/>
          <w:szCs w:val="24"/>
        </w:rPr>
        <w:t>”</w:t>
      </w:r>
      <w:r w:rsidRPr="0007531B">
        <w:rPr>
          <w:rFonts w:ascii="Arial" w:hAnsi="Arial" w:cs="Arial"/>
          <w:color w:val="2E74B5" w:themeColor="accent1" w:themeShade="BF"/>
          <w:sz w:val="24"/>
          <w:szCs w:val="24"/>
        </w:rPr>
        <w:t xml:space="preserve"> </w:t>
      </w:r>
      <w:r w:rsidRPr="00093A89">
        <w:rPr>
          <w:rFonts w:ascii="Arial" w:hAnsi="Arial" w:cs="Arial"/>
          <w:i/>
          <w:color w:val="2E74B5" w:themeColor="accent1" w:themeShade="BF"/>
          <w:sz w:val="24"/>
          <w:szCs w:val="24"/>
        </w:rPr>
        <w:fldChar w:fldCharType="begin" w:fldLock="1"/>
      </w:r>
      <w:r w:rsidR="00431BA7">
        <w:rPr>
          <w:rFonts w:ascii="Arial" w:hAnsi="Arial" w:cs="Arial"/>
          <w:i/>
          <w:color w:val="2E74B5" w:themeColor="accent1" w:themeShade="BF"/>
          <w:sz w:val="24"/>
          <w:szCs w:val="24"/>
        </w:rPr>
        <w:instrText>ADDIN CSL_CITATION { "citationItems" : [ { "id" : "ITEM-1", "itemData" : { "DOI" : "10.1108/09555340810886585", "abstract" : "Purpose - In the discussion on service-dominant logic and its consequences for value creation and marketing the inner meaning of the value-in-use notion and the nature of service marketing have not been considered thoroughly. The purpose of this paper is to analyze the meaning of a service logic as a logic for consumption and provision, respectively, and explore the consequences for value creation and marketing. Design/methodology/approach - Being a research-based paper, the topic is approached by theoretical analysis and conceptual development. Findings - Discussing the differences between value-in-exchange and value-in-use, the paper concludes that value-in-exchange in essence concerns resources used as a value foundation which are aimed at facilitating customers' fulfilment of value-in-use. When accepting value-in-use as a foundational value creation concept customers are the value creators. Adopting a service logic makes it possible for firms to get involved with their customers' value-generating processes, and the market offering is expanded to including firm-customer interactions. In this way, the supplier can become a co-creator of value with its customers. Drawing on the analysis, ten concluding service logic propositions are put forward. Research limitations/implications - The analysis provides a foundation for further development of a service logic for customers and suppliers, respectively, (\"service logic\" is preferred over the normally used \"service-dominant logic\") as well for further analysis of the marketing consequences of adopting such a business and marketing logic. Practical implications - Marketing practitioners will find new ways of understanding customers' value creation and of developing marketing strategies with an aim to engage suppliers with their customers' consumption processes in order to enhance customer satisfaction. Originality/value - For a scholarly audience, the paper provides a more truly service-centric understanding of value creation and of its marketing consequences. For a practitioner audience, it offers service-based means of further developing marketing practices. \u00a9 Emerald Group Publishing Limited.", "author" : [ { "dropping-particle" : "", "family" : "Gr\u00f6nroos", "given" : "C", "non-dropping-particle" : "", "parse-names" : false, "suffix" : "" } ], "container-title" : "European Business Review", "id" : "ITEM-1", "issue" : "4", "issued" : { "date-parts" : [ [ "2008" ] ] }, "note" : "Cited By :291\n\nExport Date: 3 September 2015", "page" : "298-314", "title" : "Service logic revisited: Who creates value? And who co-creates?", "type" : "article-journal", "volume" : "20" }, "uris" : [ "http://www.mendeley.com/documents/?uuid=0997ea28-a529-47f5-8c0e-aa7058d7032c", "http://www.mendeley.com/documents/?uuid=351dce36-d162-4978-aeb4-f5a9ed1babc6" ] } ], "mendeley" : { "formattedCitation" : "(Gr\u00f6nroos, 2008)", "plainTextFormattedCitation" : "(Gr\u00f6nroos, 2008)", "previouslyFormattedCitation" : "(Gr\u00f6nroos, 2008)"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BE071D">
        <w:rPr>
          <w:rFonts w:ascii="Arial" w:hAnsi="Arial" w:cs="Arial"/>
          <w:i/>
          <w:noProof/>
          <w:color w:val="2E74B5" w:themeColor="accent1" w:themeShade="BF"/>
          <w:sz w:val="24"/>
          <w:szCs w:val="24"/>
        </w:rPr>
        <w:t>(Grönroos, 2008)</w:t>
      </w:r>
      <w:r w:rsidRPr="00093A89">
        <w:rPr>
          <w:rFonts w:ascii="Arial" w:hAnsi="Arial" w:cs="Arial"/>
          <w:i/>
          <w:color w:val="2E74B5" w:themeColor="accent1" w:themeShade="BF"/>
          <w:sz w:val="24"/>
          <w:szCs w:val="24"/>
        </w:rPr>
        <w:fldChar w:fldCharType="end"/>
      </w:r>
      <w:r w:rsidRPr="00BE071D">
        <w:rPr>
          <w:rFonts w:ascii="Arial" w:hAnsi="Arial" w:cs="Arial"/>
          <w:i/>
          <w:color w:val="2E74B5" w:themeColor="accent1" w:themeShade="BF"/>
          <w:sz w:val="24"/>
          <w:szCs w:val="24"/>
        </w:rPr>
        <w:t xml:space="preserve"> </w:t>
      </w:r>
      <w:r w:rsidRPr="00BE071D">
        <w:rPr>
          <w:rFonts w:ascii="Arial" w:hAnsi="Arial" w:cs="Arial"/>
          <w:color w:val="2E74B5" w:themeColor="accent1" w:themeShade="BF"/>
          <w:sz w:val="24"/>
          <w:szCs w:val="24"/>
        </w:rPr>
        <w:t xml:space="preserve">y en </w:t>
      </w:r>
      <w:r w:rsidRPr="00BE071D">
        <w:rPr>
          <w:rFonts w:ascii="Arial" w:hAnsi="Arial" w:cs="Arial"/>
          <w:i/>
          <w:color w:val="2E74B5" w:themeColor="accent1" w:themeShade="BF"/>
          <w:sz w:val="24"/>
          <w:szCs w:val="24"/>
        </w:rPr>
        <w:t>“</w:t>
      </w:r>
      <w:r w:rsidR="0007531B" w:rsidRPr="00BE071D">
        <w:rPr>
          <w:rFonts w:ascii="Arial" w:hAnsi="Arial" w:cs="Arial"/>
          <w:i/>
          <w:color w:val="2E74B5" w:themeColor="accent1" w:themeShade="BF"/>
          <w:sz w:val="24"/>
          <w:szCs w:val="24"/>
        </w:rPr>
        <w:t>Procesos de creación de valor y resultados de valor en la teoría del marketing: Extraños o Hermanos”</w:t>
      </w:r>
      <w:r w:rsidRPr="00BE071D">
        <w:rPr>
          <w:rFonts w:ascii="Arial" w:hAnsi="Arial" w:cs="Arial"/>
          <w:i/>
          <w:color w:val="2E74B5" w:themeColor="accent1" w:themeShade="BF"/>
          <w:sz w:val="24"/>
          <w:szCs w:val="24"/>
        </w:rPr>
        <w:t>:</w:t>
      </w:r>
      <w:r w:rsidRPr="00BE071D">
        <w:rPr>
          <w:rFonts w:ascii="Arial" w:hAnsi="Arial" w:cs="Arial"/>
          <w:color w:val="2E74B5" w:themeColor="accent1" w:themeShade="BF"/>
          <w:sz w:val="24"/>
          <w:szCs w:val="24"/>
        </w:rPr>
        <w:t xml:space="preserve"> </w:t>
      </w:r>
      <w:r w:rsidRPr="00093A89">
        <w:rPr>
          <w:rFonts w:ascii="Arial" w:hAnsi="Arial" w:cs="Arial"/>
          <w:i/>
          <w:color w:val="2E74B5" w:themeColor="accent1" w:themeShade="BF"/>
          <w:sz w:val="24"/>
          <w:szCs w:val="24"/>
        </w:rPr>
        <w:fldChar w:fldCharType="begin" w:fldLock="1"/>
      </w:r>
      <w:r w:rsidR="00431BA7" w:rsidRPr="00BE071D">
        <w:rPr>
          <w:rFonts w:ascii="Arial" w:hAnsi="Arial" w:cs="Arial"/>
          <w:i/>
          <w:color w:val="2E74B5" w:themeColor="accent1" w:themeShade="BF"/>
          <w:sz w:val="24"/>
          <w:szCs w:val="24"/>
        </w:rPr>
        <w:instrText>ADDIN CSL_CITATION { "citationItems" : [ { "id" : "ITEM-1", "itemData" : { "DOI" : "10.1177/1470593112467267", "abstract" : "The present article alleviates the often-cited ambiguity of the value concept by proposing that value research consists of two main streams: value creation processes and value outcomes. The prior considers the parties, activities, and resources involved in value creation, whereas the latter explains the value outcomes customers perceive. Furthermore, the article investigates the value approach offered by the Service-Dominant logic, which proposes that value is co-created by firms and customers, and that beneficiaries determine the value [outcomes] (Vargo and Lusch, 2008). Finally, the article discusses how value creation processes and value outcomes might be interlinked, and creates a number of propositions to this end. It is in particular proposed that experiences offer a shared platform for investigating value creation processes and value outcomes. \u00a9 The Author(s) 2013.", "author" : [ { "dropping-particle" : "", "family" : "Gummerus", "given" : "J", "non-dropping-particle" : "", "parse-names" : false, "suffix" : "" } ], "container-title" : "Marketing Theory", "id" : "ITEM-1", "issue" : "1", "issued" : { "date-parts" : [ [ "2013" ] ] }, "note" : "Cited By :19\n\nExport Date: 3 September 2015", "page" : "19-46", "title" : "Value creation processes and value outcomes in marketing theory: Strangers or siblings?", "type" : "article-journal", "volume" : "13" }, "uris" : [ "http://www.mendeley.com/documents/?uuid=5be40e62-fe37-49b3-9376-45e3f4942ffb", "http://www.mendeley.com/documents/?uuid=73e892e4-e791-4b2e-8e12-e814b68ea7b3" ] } ], "mendeley" : { "formattedCitation" : "(Gummerus, 2013)", "plainTextFormattedCitation" : "(Gummerus, 2013)", "previouslyFormattedCitation" : "(Gummerus, 2013)"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093A89">
        <w:rPr>
          <w:rFonts w:ascii="Arial" w:hAnsi="Arial" w:cs="Arial"/>
          <w:i/>
          <w:noProof/>
          <w:color w:val="2E74B5" w:themeColor="accent1" w:themeShade="BF"/>
          <w:sz w:val="24"/>
          <w:szCs w:val="24"/>
        </w:rPr>
        <w:t>(Gummerus, 2013)</w:t>
      </w:r>
      <w:r w:rsidRPr="00093A89">
        <w:rPr>
          <w:rFonts w:ascii="Arial" w:hAnsi="Arial" w:cs="Arial"/>
          <w:i/>
          <w:color w:val="2E74B5" w:themeColor="accent1" w:themeShade="BF"/>
          <w:sz w:val="24"/>
          <w:szCs w:val="24"/>
        </w:rPr>
        <w:fldChar w:fldCharType="end"/>
      </w:r>
      <w:r w:rsidR="0007531B">
        <w:rPr>
          <w:rFonts w:ascii="Arial" w:hAnsi="Arial" w:cs="Arial"/>
          <w:i/>
          <w:color w:val="2E74B5" w:themeColor="accent1" w:themeShade="BF"/>
          <w:sz w:val="24"/>
          <w:szCs w:val="24"/>
        </w:rPr>
        <w:t xml:space="preserve"> </w:t>
      </w:r>
      <w:r w:rsidRPr="00093A89">
        <w:rPr>
          <w:rFonts w:ascii="Arial" w:hAnsi="Arial" w:cs="Arial"/>
          <w:color w:val="2E74B5" w:themeColor="accent1" w:themeShade="BF"/>
          <w:sz w:val="24"/>
          <w:szCs w:val="24"/>
        </w:rPr>
        <w:t>y,</w:t>
      </w:r>
      <w:r w:rsidR="0007531B">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teniendo en cuenta que para este sector no es claro o no está determinado, </w:t>
      </w:r>
      <w:r w:rsidR="00B1142C">
        <w:rPr>
          <w:rFonts w:ascii="Arial" w:hAnsi="Arial" w:cs="Arial"/>
          <w:color w:val="2E74B5" w:themeColor="accent1" w:themeShade="BF"/>
          <w:sz w:val="24"/>
          <w:szCs w:val="24"/>
        </w:rPr>
        <w:t xml:space="preserve">se </w:t>
      </w:r>
      <w:r w:rsidR="0007531B">
        <w:rPr>
          <w:rFonts w:ascii="Arial" w:hAnsi="Arial" w:cs="Arial"/>
          <w:color w:val="2E74B5" w:themeColor="accent1" w:themeShade="BF"/>
          <w:sz w:val="24"/>
          <w:szCs w:val="24"/>
        </w:rPr>
        <w:t>realizará</w:t>
      </w:r>
      <w:r w:rsidRPr="00093A89">
        <w:rPr>
          <w:rFonts w:ascii="Arial" w:hAnsi="Arial" w:cs="Arial"/>
          <w:color w:val="2E74B5" w:themeColor="accent1" w:themeShade="BF"/>
          <w:sz w:val="24"/>
          <w:szCs w:val="24"/>
        </w:rPr>
        <w:t xml:space="preserve"> este estudio </w:t>
      </w:r>
      <w:r w:rsidR="00B1142C">
        <w:rPr>
          <w:rFonts w:ascii="Arial" w:hAnsi="Arial" w:cs="Arial"/>
          <w:color w:val="2E74B5" w:themeColor="accent1" w:themeShade="BF"/>
          <w:sz w:val="24"/>
          <w:szCs w:val="24"/>
        </w:rPr>
        <w:t>exploratorio</w:t>
      </w:r>
      <w:r w:rsidR="00B1142C" w:rsidRPr="00093A89">
        <w:rPr>
          <w:rFonts w:ascii="Arial" w:hAnsi="Arial" w:cs="Arial"/>
          <w:color w:val="2E74B5" w:themeColor="accent1" w:themeShade="BF"/>
          <w:sz w:val="24"/>
          <w:szCs w:val="24"/>
        </w:rPr>
        <w:t xml:space="preserve"> </w:t>
      </w:r>
      <w:r w:rsidRPr="00093A89">
        <w:rPr>
          <w:rFonts w:ascii="Arial" w:hAnsi="Arial" w:cs="Arial"/>
          <w:color w:val="2E74B5" w:themeColor="accent1" w:themeShade="BF"/>
          <w:sz w:val="24"/>
          <w:szCs w:val="24"/>
        </w:rPr>
        <w:t xml:space="preserve">que a través de encuestas y entrevistas, inicialmente, permitirán conocer el valor percibido del sector y a partir de allí, construir una nueva oferta de valor entendiendolo desde la óptica de </w:t>
      </w:r>
      <w:r w:rsidRPr="00093A89">
        <w:rPr>
          <w:rFonts w:ascii="Arial" w:hAnsi="Arial" w:cs="Arial"/>
          <w:i/>
          <w:color w:val="2E74B5" w:themeColor="accent1" w:themeShade="BF"/>
          <w:sz w:val="24"/>
          <w:szCs w:val="24"/>
        </w:rPr>
        <w:t>“</w:t>
      </w:r>
      <w:r w:rsidR="002E3CD4">
        <w:rPr>
          <w:rFonts w:ascii="Arial" w:hAnsi="Arial" w:cs="Arial"/>
          <w:i/>
          <w:color w:val="2E74B5" w:themeColor="accent1" w:themeShade="BF"/>
          <w:sz w:val="24"/>
          <w:szCs w:val="24"/>
        </w:rPr>
        <w:t>Explorando propuestas de valor e innovación de servicio</w:t>
      </w:r>
      <w:r w:rsidRPr="00093A89">
        <w:rPr>
          <w:rFonts w:ascii="Arial" w:hAnsi="Arial" w:cs="Arial"/>
          <w:i/>
          <w:color w:val="2E74B5" w:themeColor="accent1" w:themeShade="BF"/>
          <w:sz w:val="24"/>
          <w:szCs w:val="24"/>
        </w:rPr>
        <w:t xml:space="preserve">: </w:t>
      </w:r>
      <w:r w:rsidR="002E3CD4">
        <w:rPr>
          <w:rFonts w:ascii="Arial" w:hAnsi="Arial" w:cs="Arial"/>
          <w:i/>
          <w:color w:val="2E74B5" w:themeColor="accent1" w:themeShade="BF"/>
          <w:sz w:val="24"/>
          <w:szCs w:val="24"/>
        </w:rPr>
        <w:t>Un estudio de la lógica dominante del servicio”</w:t>
      </w:r>
      <w:r w:rsidRPr="00093A89">
        <w:rPr>
          <w:rFonts w:ascii="Arial" w:hAnsi="Arial" w:cs="Arial"/>
          <w:color w:val="2E74B5" w:themeColor="accent1" w:themeShade="BF"/>
          <w:sz w:val="24"/>
          <w:szCs w:val="24"/>
        </w:rPr>
        <w:t xml:space="preserve"> </w:t>
      </w:r>
      <w:r w:rsidRPr="00093A89">
        <w:rPr>
          <w:rFonts w:ascii="Arial" w:hAnsi="Arial" w:cs="Arial"/>
          <w:i/>
          <w:color w:val="2E74B5" w:themeColor="accent1" w:themeShade="BF"/>
          <w:sz w:val="24"/>
          <w:szCs w:val="24"/>
        </w:rPr>
        <w:fldChar w:fldCharType="begin" w:fldLock="1"/>
      </w:r>
      <w:r w:rsidR="00431BA7">
        <w:rPr>
          <w:rFonts w:ascii="Arial" w:hAnsi="Arial" w:cs="Arial"/>
          <w:i/>
          <w:color w:val="2E74B5" w:themeColor="accent1" w:themeShade="BF"/>
          <w:sz w:val="24"/>
          <w:szCs w:val="24"/>
        </w:rPr>
        <w:instrText>ADDIN CSL_CITATION { "citationItems" : [ { "id" : "ITEM-1", "itemData" : { "DOI" : "10.1007/s11747-013-0365-2", "abstract" : "This paper presents an eight-firm study, conducted from the service-dominant logic perspective, which makes a contribution regarding knowledge of the anatomy of value propositions and service innovation. The paper suggests that value propositions are configurations of several different practices and resources. The paper finds that ten common practices, organized in three main aggregates, constitute and fulfill value propositions: i.e. provision practices, representational practices, and management and organizational practices. Moreover, the paper suggests that service innovation can be equated with the creation of new value propositions by means of developing existing or creating new practices and/or resources, or by means of integrating practices and resources in new ways. It identifies four types of service innovation (adaptation, resource-based innovation, practice-based innovation, and combinative innovation) and three types of service innovation processes (practice-based, resource-based, and combinative). The key managerial insight provided by the paper is that service innovation must be conducted and value propositions must be evaluated from the perspective of the customers' value creation, the service that the customer experiences. Successful service innovation is not only contingent on having the right resources, established methods and practices for integrating these resources into attractive value propositions are also needed. \u00a9 2014 Academy of Marketing Science.", "author" : [ { "dropping-particle" : "", "family" : "Sk\u00e5l\u00e9n", "given" : "P", "non-dropping-particle" : "", "parse-names" : false, "suffix" : "" }, { "dropping-particle" : "", "family" : "Gummerus", "given" : "J", "non-dropping-particle" : "", "parse-names" : false, "suffix" : "" }, { "dropping-particle" : "", "family" : "Koskull", "given" : "C", "non-dropping-particle" : "von", "parse-names" : false, "suffix" : "" }, { "dropping-particle" : "", "family" : "Magnusson", "given" : "P R", "non-dropping-particle" : "", "parse-names" : false, "suffix" : "" } ], "container-title" : "Journal of the Academy of Marketing Science", "id" : "ITEM-1", "issued" : { "date-parts" : [ [ "2014" ] ] }, "note" : "Cited By :2\n\nExport Date: 3 September 2015\n\nArticle in Press", "page" : "1-22", "title" : "Exploring value propositions and service innovation: a service-dominant logic study", "type" : "article" }, "uris" : [ "http://www.mendeley.com/documents/?uuid=e4043cb8-f189-4ea1-b35a-80ab33af6a6b", "http://www.mendeley.com/documents/?uuid=b944b4f0-37c3-4c46-aeaf-0419f75b1cea" ] } ], "mendeley" : { "formattedCitation" : "(Sk\u00e5l\u00e9n, Gummerus, von Koskull, &amp; Magnusson, 2014)", "plainTextFormattedCitation" : "(Sk\u00e5l\u00e9n, Gummerus, von Koskull, &amp; Magnusson, 2014)", "previouslyFormattedCitation" : "(Sk\u00e5l\u00e9n, Gummerus, von Koskull, &amp; Magnusson, 2014)" }, "properties" : { "noteIndex" : 0 }, "schema" : "https://github.com/citation-style-language/schema/raw/master/csl-citation.json" }</w:instrText>
      </w:r>
      <w:r w:rsidRPr="00093A89">
        <w:rPr>
          <w:rFonts w:ascii="Arial" w:hAnsi="Arial" w:cs="Arial"/>
          <w:i/>
          <w:color w:val="2E74B5" w:themeColor="accent1" w:themeShade="BF"/>
          <w:sz w:val="24"/>
          <w:szCs w:val="24"/>
        </w:rPr>
        <w:fldChar w:fldCharType="separate"/>
      </w:r>
      <w:r w:rsidRPr="00093A89">
        <w:rPr>
          <w:rFonts w:ascii="Arial" w:hAnsi="Arial" w:cs="Arial"/>
          <w:i/>
          <w:noProof/>
          <w:color w:val="2E74B5" w:themeColor="accent1" w:themeShade="BF"/>
          <w:sz w:val="24"/>
          <w:szCs w:val="24"/>
        </w:rPr>
        <w:t>(Skålén, Gummerus, von Koskull, &amp; Magnusson, 2014)</w:t>
      </w:r>
      <w:r w:rsidRPr="00093A89">
        <w:rPr>
          <w:rFonts w:ascii="Arial" w:hAnsi="Arial" w:cs="Arial"/>
          <w:i/>
          <w:color w:val="2E74B5" w:themeColor="accent1" w:themeShade="BF"/>
          <w:sz w:val="24"/>
          <w:szCs w:val="24"/>
        </w:rPr>
        <w:fldChar w:fldCharType="end"/>
      </w:r>
      <w:r w:rsidRPr="00093A89">
        <w:rPr>
          <w:rFonts w:ascii="Arial" w:hAnsi="Arial" w:cs="Arial"/>
          <w:i/>
          <w:color w:val="2E74B5" w:themeColor="accent1" w:themeShade="BF"/>
          <w:sz w:val="24"/>
          <w:szCs w:val="24"/>
        </w:rPr>
        <w:t xml:space="preserve"> </w:t>
      </w:r>
      <w:r w:rsidRPr="00093A89">
        <w:rPr>
          <w:rFonts w:ascii="Arial" w:hAnsi="Arial" w:cs="Arial"/>
          <w:color w:val="2E74B5" w:themeColor="accent1" w:themeShade="BF"/>
          <w:sz w:val="24"/>
          <w:szCs w:val="24"/>
        </w:rPr>
        <w:t xml:space="preserve">o reforzamiento de  la que ya exista. </w:t>
      </w:r>
    </w:p>
    <w:p w14:paraId="0CAF825E" w14:textId="58CDD9BC" w:rsidR="00093A89" w:rsidRPr="00093A89" w:rsidRDefault="00093A89" w:rsidP="00093A89">
      <w:pPr>
        <w:jc w:val="both"/>
        <w:rPr>
          <w:rFonts w:ascii="Arial" w:hAnsi="Arial" w:cs="Arial"/>
          <w:color w:val="2E74B5" w:themeColor="accent1" w:themeShade="BF"/>
          <w:sz w:val="24"/>
          <w:szCs w:val="24"/>
        </w:rPr>
      </w:pPr>
      <w:r w:rsidRPr="00093A89">
        <w:rPr>
          <w:rFonts w:ascii="Arial" w:hAnsi="Arial" w:cs="Arial"/>
          <w:color w:val="2E74B5" w:themeColor="accent1" w:themeShade="BF"/>
          <w:sz w:val="24"/>
          <w:szCs w:val="24"/>
        </w:rPr>
        <w:t>Se toman como referencia estudios previos realizado</w:t>
      </w:r>
      <w:r w:rsidR="000C1C14">
        <w:rPr>
          <w:rFonts w:ascii="Arial" w:hAnsi="Arial" w:cs="Arial"/>
          <w:color w:val="2E74B5" w:themeColor="accent1" w:themeShade="BF"/>
          <w:sz w:val="24"/>
          <w:szCs w:val="24"/>
        </w:rPr>
        <w:t>s</w:t>
      </w:r>
      <w:r w:rsidRPr="00093A89">
        <w:rPr>
          <w:rFonts w:ascii="Arial" w:hAnsi="Arial" w:cs="Arial"/>
          <w:color w:val="2E74B5" w:themeColor="accent1" w:themeShade="BF"/>
          <w:sz w:val="24"/>
          <w:szCs w:val="24"/>
        </w:rPr>
        <w:t xml:space="preserve"> en otros sectores</w:t>
      </w:r>
      <w:r w:rsidR="000C1C14">
        <w:rPr>
          <w:rFonts w:ascii="Arial" w:hAnsi="Arial" w:cs="Arial"/>
          <w:color w:val="2E74B5" w:themeColor="accent1" w:themeShade="BF"/>
          <w:sz w:val="24"/>
          <w:szCs w:val="24"/>
        </w:rPr>
        <w:t xml:space="preserve"> teniendo en cuenta </w:t>
      </w:r>
      <w:r w:rsidRPr="00093A89">
        <w:rPr>
          <w:rFonts w:ascii="Arial" w:hAnsi="Arial" w:cs="Arial"/>
          <w:color w:val="2E74B5" w:themeColor="accent1" w:themeShade="BF"/>
          <w:sz w:val="24"/>
          <w:szCs w:val="24"/>
        </w:rPr>
        <w:t>que para el sector de seguridad se identificó uno solo llamado</w:t>
      </w:r>
      <w:r w:rsidRPr="00093A89">
        <w:rPr>
          <w:color w:val="2E74B5" w:themeColor="accent1" w:themeShade="BF"/>
        </w:rPr>
        <w:t xml:space="preserve"> </w:t>
      </w:r>
      <w:r w:rsidRPr="00DC2584">
        <w:rPr>
          <w:i/>
          <w:color w:val="2E74B5" w:themeColor="accent1" w:themeShade="BF"/>
          <w:sz w:val="24"/>
        </w:rPr>
        <w:t>“</w:t>
      </w:r>
      <w:r w:rsidR="00DC2584" w:rsidRPr="00BE071D">
        <w:rPr>
          <w:rFonts w:ascii="Arial" w:hAnsi="Arial" w:cs="Arial"/>
          <w:color w:val="2E74B5" w:themeColor="accent1" w:themeShade="BF"/>
          <w:sz w:val="24"/>
          <w:szCs w:val="24"/>
        </w:rPr>
        <w:t>Los factores clave de valor para el cliente en los servicios de guardias de seguridad del negocio a negocio</w:t>
      </w:r>
      <w:r w:rsidR="00DC2584">
        <w:rPr>
          <w:i/>
          <w:color w:val="2E74B5" w:themeColor="accent1" w:themeShade="BF"/>
          <w:sz w:val="24"/>
        </w:rPr>
        <w:t>”</w:t>
      </w:r>
      <w:r w:rsidR="00DC2584" w:rsidRPr="00DC2584">
        <w:rPr>
          <w:i/>
          <w:color w:val="2E74B5" w:themeColor="accent1" w:themeShade="BF"/>
        </w:rPr>
        <w:t xml:space="preserve"> </w:t>
      </w:r>
      <w:r w:rsidRPr="00BE071D">
        <w:rPr>
          <w:rFonts w:ascii="Arial" w:hAnsi="Arial" w:cs="Arial"/>
          <w:color w:val="2E74B5" w:themeColor="accent1" w:themeShade="BF"/>
          <w:sz w:val="24"/>
          <w:szCs w:val="24"/>
        </w:rPr>
        <w:fldChar w:fldCharType="begin" w:fldLock="1"/>
      </w:r>
      <w:r w:rsidR="00431BA7" w:rsidRPr="00BE071D">
        <w:rPr>
          <w:rFonts w:ascii="Arial" w:hAnsi="Arial" w:cs="Arial"/>
          <w:color w:val="2E74B5" w:themeColor="accent1" w:themeShade="BF"/>
          <w:sz w:val="24"/>
          <w:szCs w:val="24"/>
        </w:rPr>
        <w:instrText>ADDIN CSL_CITATION { "citationItems" : [ { "id" : "ITEM-1", "itemData" : { "DOI" : "10.2495/SAFE110131", "abstract" : "The private security industry has witnessed dramatic growth during the past few decades, but despite the remarkable growth, there is a lack of empirical studies focusing on the customer value of private security services. Much of the existing literature on private security focuses on the causes of its growth and on good governance practices, while very little attention has been paid to the actual process of value creation. The aim of this study is to deepen the understanding of private security services by exploring value creation of security guarding from the customer's perspective, i.e., the actual benefits and sacrifices as well as the customer-relationship aspects perceived by the customer. The study is based on open-ended interviews (n=15) with business-to-business customers of three security service providers. The study follows the paradigm of social constructionism and an active interview approach. The key drivers of customer value are presented as a result of a qualitative thematic analysis. The findings of the study reveal that customer value is centred on two main themes: guarding services as a guarantee for security and guarding services as professional business-to-business services. In total, nine value drivers that influence customer value are identified. In the first theme, they are reactivity, reliability, presence and personal characteristics. In the second theme, they are balance between duties, communication, relationship management practices, and time and effort. As a conclusion, the study argues that security guard services should not only be evaluated in relation to crime prevention and security provision but take into consideration all the security guards' duties, including, e.g., customer service and housekeeping. A new term security-service dilemma is also introduced to describe the difficulties of combining security-related duties with non-security duties in one service concept. \u00a9 2011 WIT Press.", "author" : [ { "dropping-particle" : "", "family" : "J\u00e4hi", "given" : "M", "non-dropping-particle" : "", "parse-names" : false, "suffix" : "" } ], "id" : "ITEM-1", "issued" : { "date-parts" : [ [ "2011" ] ] }, "note" : "Export Date: 3 September 2015", "page" : "137-148", "title" : "Key drivers of customer value in business-to-business security guard services", "type" : "paper-conference", "volume" : "117" }, "uris" : [ "http://www.mendeley.com/documents/?uuid=c2dd0d85-c3d5-420d-9f03-28e75511b126", "http://www.mendeley.com/documents/?uuid=6b1067ab-ebd7-4489-8d1a-8ba7bfa919fd" ] } ], "mendeley" : { "formattedCitation" : "(J\u00e4hi, 2011)", "plainTextFormattedCitation" : "(J\u00e4hi, 2011)", "previouslyFormattedCitation" : "(J\u00e4hi, 2011)" }, "properties" : { "noteIndex" : 0 }, "schema" : "https://github.com/citation-style-language/schema/raw/master/csl-citation.json" }</w:instrText>
      </w:r>
      <w:r w:rsidRPr="00BE071D">
        <w:rPr>
          <w:rFonts w:ascii="Arial" w:hAnsi="Arial" w:cs="Arial"/>
          <w:color w:val="2E74B5" w:themeColor="accent1" w:themeShade="BF"/>
          <w:sz w:val="24"/>
          <w:szCs w:val="24"/>
        </w:rPr>
        <w:fldChar w:fldCharType="separate"/>
      </w:r>
      <w:r w:rsidRPr="00BE071D">
        <w:rPr>
          <w:rFonts w:ascii="Arial" w:hAnsi="Arial" w:cs="Arial"/>
          <w:noProof/>
          <w:color w:val="2E74B5" w:themeColor="accent1" w:themeShade="BF"/>
          <w:sz w:val="24"/>
          <w:szCs w:val="24"/>
        </w:rPr>
        <w:t>(Jähi, 2011)</w:t>
      </w:r>
      <w:r w:rsidRPr="00BE071D">
        <w:rPr>
          <w:rFonts w:ascii="Arial" w:hAnsi="Arial" w:cs="Arial"/>
          <w:color w:val="2E74B5" w:themeColor="accent1" w:themeShade="BF"/>
          <w:sz w:val="24"/>
          <w:szCs w:val="24"/>
        </w:rPr>
        <w:fldChar w:fldCharType="end"/>
      </w:r>
      <w:r w:rsidR="00DC2584">
        <w:rPr>
          <w:rFonts w:ascii="Arial" w:hAnsi="Arial" w:cs="Arial"/>
          <w:i/>
          <w:color w:val="2E74B5" w:themeColor="accent1" w:themeShade="BF"/>
          <w:sz w:val="24"/>
          <w:szCs w:val="24"/>
        </w:rPr>
        <w:t>,</w:t>
      </w:r>
      <w:r w:rsidRPr="00093A89">
        <w:rPr>
          <w:rFonts w:ascii="Arial" w:hAnsi="Arial" w:cs="Arial"/>
          <w:color w:val="2E74B5" w:themeColor="accent1" w:themeShade="BF"/>
          <w:sz w:val="24"/>
          <w:szCs w:val="24"/>
        </w:rPr>
        <w:t xml:space="preserve"> que de hecho solo permite abordar solo una parte, tal vez la más conocida,  del portafolio de seguridad, al menos en Colombia. </w:t>
      </w:r>
    </w:p>
    <w:p w14:paraId="4428F769" w14:textId="3C00D4CC" w:rsidR="00093A89" w:rsidRPr="00093A89" w:rsidRDefault="000C1C14" w:rsidP="00093A89">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Debido a </w:t>
      </w:r>
      <w:r w:rsidR="00794203">
        <w:rPr>
          <w:rFonts w:ascii="Arial" w:hAnsi="Arial" w:cs="Arial"/>
          <w:color w:val="2E74B5" w:themeColor="accent1" w:themeShade="BF"/>
          <w:sz w:val="24"/>
          <w:szCs w:val="24"/>
        </w:rPr>
        <w:t xml:space="preserve">la carencia de </w:t>
      </w:r>
      <w:r w:rsidR="00093A89" w:rsidRPr="00093A89">
        <w:rPr>
          <w:rFonts w:ascii="Arial" w:hAnsi="Arial" w:cs="Arial"/>
          <w:color w:val="2E74B5" w:themeColor="accent1" w:themeShade="BF"/>
          <w:sz w:val="24"/>
          <w:szCs w:val="24"/>
        </w:rPr>
        <w:t>estudios cualitativos o cuantitavos que permitan conocer el papel que los clientes ejercen a la hora de estrechar lazos comerciales y determinar qu</w:t>
      </w:r>
      <w:r w:rsidR="00794203">
        <w:rPr>
          <w:rFonts w:ascii="Arial" w:hAnsi="Arial" w:cs="Arial"/>
          <w:color w:val="2E74B5" w:themeColor="accent1" w:themeShade="BF"/>
          <w:sz w:val="24"/>
          <w:szCs w:val="24"/>
        </w:rPr>
        <w:t>é</w:t>
      </w:r>
      <w:r w:rsidR="00093A89" w:rsidRPr="00093A89">
        <w:rPr>
          <w:rFonts w:ascii="Arial" w:hAnsi="Arial" w:cs="Arial"/>
          <w:color w:val="2E74B5" w:themeColor="accent1" w:themeShade="BF"/>
          <w:sz w:val="24"/>
          <w:szCs w:val="24"/>
        </w:rPr>
        <w:t xml:space="preserve"> quieren y qu</w:t>
      </w:r>
      <w:r w:rsidR="00794203">
        <w:rPr>
          <w:rFonts w:ascii="Arial" w:hAnsi="Arial" w:cs="Arial"/>
          <w:color w:val="2E74B5" w:themeColor="accent1" w:themeShade="BF"/>
          <w:sz w:val="24"/>
          <w:szCs w:val="24"/>
        </w:rPr>
        <w:t>é</w:t>
      </w:r>
      <w:r w:rsidR="00093A89" w:rsidRPr="00093A89">
        <w:rPr>
          <w:rFonts w:ascii="Arial" w:hAnsi="Arial" w:cs="Arial"/>
          <w:color w:val="2E74B5" w:themeColor="accent1" w:themeShade="BF"/>
          <w:sz w:val="24"/>
          <w:szCs w:val="24"/>
        </w:rPr>
        <w:t xml:space="preserve"> no de su proveedor, realizar este estudi</w:t>
      </w:r>
      <w:r w:rsidR="00553434">
        <w:rPr>
          <w:rFonts w:ascii="Arial" w:hAnsi="Arial" w:cs="Arial"/>
          <w:color w:val="2E74B5" w:themeColor="accent1" w:themeShade="BF"/>
          <w:sz w:val="24"/>
          <w:szCs w:val="24"/>
        </w:rPr>
        <w:t>o</w:t>
      </w:r>
      <w:r w:rsidR="00093A89" w:rsidRPr="00093A89">
        <w:rPr>
          <w:rFonts w:ascii="Arial" w:hAnsi="Arial" w:cs="Arial"/>
          <w:color w:val="2E74B5" w:themeColor="accent1" w:themeShade="BF"/>
          <w:sz w:val="24"/>
          <w:szCs w:val="24"/>
        </w:rPr>
        <w:t xml:space="preserve"> permitirá </w:t>
      </w:r>
      <w:r w:rsidR="00996AA3">
        <w:rPr>
          <w:rFonts w:ascii="Arial" w:hAnsi="Arial" w:cs="Arial"/>
          <w:color w:val="2E74B5" w:themeColor="accent1" w:themeShade="BF"/>
          <w:sz w:val="24"/>
          <w:szCs w:val="24"/>
        </w:rPr>
        <w:t xml:space="preserve">resolver la pregunta de investigación ¿cuál es </w:t>
      </w:r>
      <w:r w:rsidR="00093A89" w:rsidRPr="00093A89">
        <w:rPr>
          <w:rFonts w:ascii="Arial" w:hAnsi="Arial" w:cs="Arial"/>
          <w:color w:val="2E74B5" w:themeColor="accent1" w:themeShade="BF"/>
          <w:sz w:val="24"/>
          <w:szCs w:val="24"/>
        </w:rPr>
        <w:t>el valor percibido de los clientes del sector de seguridad privada en Colombia</w:t>
      </w:r>
      <w:r w:rsidR="00996AA3">
        <w:rPr>
          <w:rFonts w:ascii="Arial" w:hAnsi="Arial" w:cs="Arial"/>
          <w:color w:val="2E74B5" w:themeColor="accent1" w:themeShade="BF"/>
          <w:sz w:val="24"/>
          <w:szCs w:val="24"/>
        </w:rPr>
        <w:t>?</w:t>
      </w:r>
      <w:r w:rsidR="00093A89" w:rsidRPr="00093A89">
        <w:rPr>
          <w:rFonts w:ascii="Arial" w:hAnsi="Arial" w:cs="Arial"/>
          <w:color w:val="2E74B5" w:themeColor="accent1" w:themeShade="BF"/>
          <w:sz w:val="24"/>
          <w:szCs w:val="24"/>
        </w:rPr>
        <w:t xml:space="preserve"> y</w:t>
      </w:r>
      <w:r w:rsidR="00996AA3">
        <w:rPr>
          <w:rFonts w:ascii="Arial" w:hAnsi="Arial" w:cs="Arial"/>
          <w:color w:val="2E74B5" w:themeColor="accent1" w:themeShade="BF"/>
          <w:sz w:val="24"/>
          <w:szCs w:val="24"/>
        </w:rPr>
        <w:t>,</w:t>
      </w:r>
      <w:r w:rsidR="00093A89" w:rsidRPr="00093A89">
        <w:rPr>
          <w:rFonts w:ascii="Arial" w:hAnsi="Arial" w:cs="Arial"/>
          <w:color w:val="2E74B5" w:themeColor="accent1" w:themeShade="BF"/>
          <w:sz w:val="24"/>
          <w:szCs w:val="24"/>
        </w:rPr>
        <w:t xml:space="preserve"> a partir de allí, </w:t>
      </w:r>
      <w:r w:rsidR="00996AA3">
        <w:rPr>
          <w:rFonts w:ascii="Arial" w:hAnsi="Arial" w:cs="Arial"/>
          <w:color w:val="2E74B5" w:themeColor="accent1" w:themeShade="BF"/>
          <w:sz w:val="24"/>
          <w:szCs w:val="24"/>
        </w:rPr>
        <w:t xml:space="preserve">se podrá </w:t>
      </w:r>
      <w:r w:rsidR="00093A89" w:rsidRPr="00093A89">
        <w:rPr>
          <w:rFonts w:ascii="Arial" w:hAnsi="Arial" w:cs="Arial"/>
          <w:color w:val="2E74B5" w:themeColor="accent1" w:themeShade="BF"/>
          <w:sz w:val="24"/>
          <w:szCs w:val="24"/>
        </w:rPr>
        <w:t xml:space="preserve">construir una nueva oferta de valor o </w:t>
      </w:r>
      <w:r w:rsidR="00996AA3">
        <w:rPr>
          <w:rFonts w:ascii="Arial" w:hAnsi="Arial" w:cs="Arial"/>
          <w:color w:val="2E74B5" w:themeColor="accent1" w:themeShade="BF"/>
          <w:sz w:val="24"/>
          <w:szCs w:val="24"/>
        </w:rPr>
        <w:t xml:space="preserve">un </w:t>
      </w:r>
      <w:r w:rsidR="00093A89" w:rsidRPr="00093A89">
        <w:rPr>
          <w:rFonts w:ascii="Arial" w:hAnsi="Arial" w:cs="Arial"/>
          <w:color w:val="2E74B5" w:themeColor="accent1" w:themeShade="BF"/>
          <w:sz w:val="24"/>
          <w:szCs w:val="24"/>
        </w:rPr>
        <w:t xml:space="preserve">reforzamiento de la que ya exista. Todo lo anterior </w:t>
      </w:r>
      <w:r w:rsidR="00CD5185">
        <w:rPr>
          <w:rFonts w:ascii="Arial" w:hAnsi="Arial" w:cs="Arial"/>
          <w:color w:val="2E74B5" w:themeColor="accent1" w:themeShade="BF"/>
          <w:sz w:val="24"/>
          <w:szCs w:val="24"/>
        </w:rPr>
        <w:t>sustentado</w:t>
      </w:r>
      <w:r w:rsidR="00093A89" w:rsidRPr="00093A89">
        <w:rPr>
          <w:rFonts w:ascii="Arial" w:hAnsi="Arial" w:cs="Arial"/>
          <w:color w:val="2E74B5" w:themeColor="accent1" w:themeShade="BF"/>
          <w:sz w:val="24"/>
          <w:szCs w:val="24"/>
        </w:rPr>
        <w:t xml:space="preserve"> en las dimensiones PERVAL y las premisas LDS.  </w:t>
      </w:r>
    </w:p>
    <w:p w14:paraId="72A857E0" w14:textId="77777777" w:rsidR="006B60EE" w:rsidRDefault="006B60EE" w:rsidP="000C7A71">
      <w:pPr>
        <w:rPr>
          <w:rFonts w:ascii="Arial" w:hAnsi="Arial" w:cs="Arial"/>
          <w:color w:val="2E74B5" w:themeColor="accent1" w:themeShade="BF"/>
          <w:sz w:val="24"/>
          <w:szCs w:val="24"/>
        </w:rPr>
      </w:pPr>
    </w:p>
    <w:p w14:paraId="3C6D2D55" w14:textId="77777777" w:rsidR="00FD5875" w:rsidRDefault="00FD5875" w:rsidP="000C7A71">
      <w:pPr>
        <w:rPr>
          <w:rFonts w:ascii="Arial" w:hAnsi="Arial" w:cs="Arial"/>
          <w:color w:val="2E74B5" w:themeColor="accent1" w:themeShade="BF"/>
          <w:sz w:val="24"/>
          <w:szCs w:val="24"/>
        </w:rPr>
      </w:pPr>
    </w:p>
    <w:p w14:paraId="4370DDA9" w14:textId="77777777" w:rsidR="00FD5875" w:rsidRDefault="00FD5875" w:rsidP="000C7A71">
      <w:pPr>
        <w:rPr>
          <w:rFonts w:ascii="Arial" w:hAnsi="Arial" w:cs="Arial"/>
          <w:color w:val="2E74B5" w:themeColor="accent1" w:themeShade="BF"/>
          <w:sz w:val="24"/>
          <w:szCs w:val="24"/>
        </w:rPr>
      </w:pPr>
    </w:p>
    <w:p w14:paraId="3F401952" w14:textId="77777777" w:rsidR="000C1C14" w:rsidRDefault="000C1C14" w:rsidP="000C7A71">
      <w:pPr>
        <w:rPr>
          <w:rFonts w:ascii="Arial" w:hAnsi="Arial" w:cs="Arial"/>
          <w:color w:val="2E74B5" w:themeColor="accent1" w:themeShade="BF"/>
          <w:sz w:val="24"/>
          <w:szCs w:val="24"/>
        </w:rPr>
      </w:pPr>
    </w:p>
    <w:p w14:paraId="19183CD4" w14:textId="77777777" w:rsidR="00803D83" w:rsidRDefault="00803D83" w:rsidP="000C7A71">
      <w:pPr>
        <w:rPr>
          <w:rFonts w:ascii="Arial" w:hAnsi="Arial" w:cs="Arial"/>
          <w:b/>
          <w:sz w:val="24"/>
          <w:szCs w:val="24"/>
        </w:rPr>
      </w:pPr>
      <w:r w:rsidRPr="00774EB3">
        <w:rPr>
          <w:rFonts w:ascii="Arial" w:hAnsi="Arial" w:cs="Arial"/>
          <w:b/>
          <w:sz w:val="24"/>
          <w:szCs w:val="24"/>
        </w:rPr>
        <w:lastRenderedPageBreak/>
        <w:t>REVISIÓN DE LITERATURA</w:t>
      </w:r>
    </w:p>
    <w:p w14:paraId="51E242EB" w14:textId="1140F442" w:rsidR="000C1C14" w:rsidRPr="000C1C14" w:rsidRDefault="000C1C14" w:rsidP="000C1C14">
      <w:pPr>
        <w:jc w:val="both"/>
        <w:rPr>
          <w:rFonts w:ascii="Arial" w:hAnsi="Arial" w:cs="Arial"/>
          <w:color w:val="2E74B5" w:themeColor="accent1" w:themeShade="BF"/>
          <w:sz w:val="24"/>
          <w:szCs w:val="24"/>
        </w:rPr>
      </w:pPr>
      <w:r w:rsidRPr="000C1C14">
        <w:rPr>
          <w:rFonts w:ascii="Arial" w:hAnsi="Arial" w:cs="Arial"/>
          <w:color w:val="2E74B5" w:themeColor="accent1" w:themeShade="BF"/>
          <w:sz w:val="24"/>
          <w:szCs w:val="24"/>
        </w:rPr>
        <w:t xml:space="preserve">Dada la naturaleza del problema expresado en la introducción a continuación se describen los conceptos relevantes para abordar este problema. En este sentido el primer apartado da cuenta de las posturas acerca del valor percibido mientras que el segundo apartado hace un </w:t>
      </w:r>
      <w:r w:rsidR="00035E8E" w:rsidRPr="000C1C14">
        <w:rPr>
          <w:rFonts w:ascii="Arial" w:hAnsi="Arial" w:cs="Arial"/>
          <w:color w:val="2E74B5" w:themeColor="accent1" w:themeShade="BF"/>
          <w:sz w:val="24"/>
          <w:szCs w:val="24"/>
        </w:rPr>
        <w:t>recorrido</w:t>
      </w:r>
      <w:r w:rsidRPr="000C1C14">
        <w:rPr>
          <w:rFonts w:ascii="Arial" w:hAnsi="Arial" w:cs="Arial"/>
          <w:color w:val="2E74B5" w:themeColor="accent1" w:themeShade="BF"/>
          <w:sz w:val="24"/>
          <w:szCs w:val="24"/>
        </w:rPr>
        <w:t xml:space="preserve"> por la LDS y la premisa que es necesario validar </w:t>
      </w:r>
      <w:r w:rsidR="00035E8E" w:rsidRPr="000C1C14">
        <w:rPr>
          <w:rFonts w:ascii="Arial" w:hAnsi="Arial" w:cs="Arial"/>
          <w:color w:val="2E74B5" w:themeColor="accent1" w:themeShade="BF"/>
          <w:sz w:val="24"/>
          <w:szCs w:val="24"/>
        </w:rPr>
        <w:t>empíricamente</w:t>
      </w:r>
      <w:r w:rsidRPr="000C1C14">
        <w:rPr>
          <w:rFonts w:ascii="Arial" w:hAnsi="Arial" w:cs="Arial"/>
          <w:color w:val="2E74B5" w:themeColor="accent1" w:themeShade="BF"/>
          <w:sz w:val="24"/>
          <w:szCs w:val="24"/>
        </w:rPr>
        <w:t xml:space="preserve"> en el marco de este trabajo.</w:t>
      </w:r>
    </w:p>
    <w:p w14:paraId="702E0A29" w14:textId="77777777" w:rsidR="000C1C14" w:rsidRPr="000C1C14" w:rsidRDefault="000C1C14" w:rsidP="000C1C14">
      <w:pPr>
        <w:jc w:val="both"/>
        <w:rPr>
          <w:rFonts w:ascii="Arial" w:hAnsi="Arial" w:cs="Arial"/>
          <w:color w:val="2E74B5" w:themeColor="accent1" w:themeShade="BF"/>
          <w:sz w:val="24"/>
          <w:szCs w:val="24"/>
        </w:rPr>
      </w:pPr>
    </w:p>
    <w:p w14:paraId="3148AA1A" w14:textId="77777777" w:rsidR="000C1C14" w:rsidRPr="000C1C14" w:rsidRDefault="000C1C14" w:rsidP="000C1C14">
      <w:pPr>
        <w:pStyle w:val="Ttulo2"/>
        <w:numPr>
          <w:ilvl w:val="1"/>
          <w:numId w:val="4"/>
        </w:numPr>
        <w:spacing w:line="360" w:lineRule="auto"/>
        <w:rPr>
          <w:rFonts w:ascii="Arial" w:hAnsi="Arial"/>
          <w:color w:val="2E74B5" w:themeColor="accent1" w:themeShade="BF"/>
          <w:sz w:val="24"/>
        </w:rPr>
      </w:pPr>
      <w:bookmarkStart w:id="1" w:name="_Toc309926992"/>
      <w:r w:rsidRPr="000C1C14">
        <w:rPr>
          <w:rFonts w:ascii="Arial" w:hAnsi="Arial"/>
          <w:color w:val="2E74B5" w:themeColor="accent1" w:themeShade="BF"/>
          <w:sz w:val="24"/>
        </w:rPr>
        <w:t>Valor percibido</w:t>
      </w:r>
      <w:bookmarkEnd w:id="1"/>
    </w:p>
    <w:p w14:paraId="0E234CD4" w14:textId="4CCFF8BC" w:rsidR="000C1C14" w:rsidRPr="000C1C14" w:rsidRDefault="00A65315" w:rsidP="000C1C14">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w:t>
      </w:r>
      <w:r w:rsidR="00A3661C">
        <w:rPr>
          <w:rFonts w:ascii="Arial" w:hAnsi="Arial" w:cs="Arial"/>
          <w:color w:val="2E74B5" w:themeColor="accent1" w:themeShade="BF"/>
          <w:sz w:val="24"/>
          <w:szCs w:val="24"/>
        </w:rPr>
        <w:t>E</w:t>
      </w:r>
      <w:r w:rsidR="000C1C14" w:rsidRPr="000C1C14">
        <w:rPr>
          <w:rFonts w:ascii="Arial" w:hAnsi="Arial" w:cs="Arial"/>
          <w:color w:val="2E74B5" w:themeColor="accent1" w:themeShade="BF"/>
          <w:sz w:val="24"/>
          <w:szCs w:val="24"/>
        </w:rPr>
        <w:t xml:space="preserve">scala PERVAL y sus dimensiones: Emocional, </w:t>
      </w:r>
      <w:r>
        <w:rPr>
          <w:rFonts w:ascii="Arial" w:hAnsi="Arial" w:cs="Arial"/>
          <w:color w:val="2E74B5" w:themeColor="accent1" w:themeShade="BF"/>
          <w:sz w:val="24"/>
          <w:szCs w:val="24"/>
        </w:rPr>
        <w:t>referente a la utilidad derivada de los sentimientos o estados afectivos</w:t>
      </w:r>
      <w:r>
        <w:rPr>
          <w:rFonts w:ascii="Arial" w:hAnsi="Arial" w:cs="Arial"/>
          <w:color w:val="2E74B5" w:themeColor="accent1" w:themeShade="BF"/>
          <w:sz w:val="24"/>
          <w:szCs w:val="24"/>
        </w:rPr>
        <w:tab/>
        <w:t xml:space="preserve"> que genera un producto; </w:t>
      </w:r>
      <w:r w:rsidR="000C1C14" w:rsidRPr="000C1C14">
        <w:rPr>
          <w:rFonts w:ascii="Arial" w:hAnsi="Arial" w:cs="Arial"/>
          <w:color w:val="2E74B5" w:themeColor="accent1" w:themeShade="BF"/>
          <w:sz w:val="24"/>
          <w:szCs w:val="24"/>
        </w:rPr>
        <w:t>Social,</w:t>
      </w:r>
      <w:r>
        <w:rPr>
          <w:rFonts w:ascii="Arial" w:hAnsi="Arial" w:cs="Arial"/>
          <w:color w:val="2E74B5" w:themeColor="accent1" w:themeShade="BF"/>
          <w:sz w:val="24"/>
          <w:szCs w:val="24"/>
        </w:rPr>
        <w:t xml:space="preserve"> que valida la utilidad derivada de la capacidad del producto para mejoras de autoconcepto social;</w:t>
      </w:r>
      <w:r w:rsidR="000C1C14" w:rsidRPr="000C1C14">
        <w:rPr>
          <w:rFonts w:ascii="Arial" w:hAnsi="Arial" w:cs="Arial"/>
          <w:color w:val="2E74B5" w:themeColor="accent1" w:themeShade="BF"/>
          <w:sz w:val="24"/>
          <w:szCs w:val="24"/>
        </w:rPr>
        <w:t xml:space="preserve"> Funcional, </w:t>
      </w:r>
      <w:r>
        <w:rPr>
          <w:rFonts w:ascii="Arial" w:hAnsi="Arial" w:cs="Arial"/>
          <w:color w:val="2E74B5" w:themeColor="accent1" w:themeShade="BF"/>
          <w:sz w:val="24"/>
          <w:szCs w:val="24"/>
        </w:rPr>
        <w:t>que aborda la utilidad derivada del producto y, de las calidad percibida y el desempeño esperado del producto</w:t>
      </w:r>
      <w:r w:rsidR="000C1C14" w:rsidRPr="000C1C14">
        <w:rPr>
          <w:rFonts w:ascii="Arial" w:hAnsi="Arial" w:cs="Arial"/>
          <w:color w:val="2E74B5" w:themeColor="accent1" w:themeShade="BF"/>
          <w:sz w:val="24"/>
          <w:szCs w:val="24"/>
        </w:rPr>
        <w:t xml:space="preserve"> </w:t>
      </w:r>
      <w:r w:rsidR="00A3661C" w:rsidRPr="000C1C14">
        <w:rPr>
          <w:rFonts w:ascii="Arial" w:hAnsi="Arial" w:cs="Arial"/>
          <w:color w:val="2E74B5" w:themeColor="accent1" w:themeShade="BF"/>
          <w:sz w:val="24"/>
          <w:szCs w:val="24"/>
        </w:rPr>
        <w:fldChar w:fldCharType="begin" w:fldLock="1"/>
      </w:r>
      <w:r w:rsidR="00A3661C">
        <w:rPr>
          <w:rFonts w:ascii="Arial" w:hAnsi="Arial" w:cs="Arial"/>
          <w:color w:val="2E74B5" w:themeColor="accent1" w:themeShade="BF"/>
          <w:sz w:val="24"/>
          <w:szCs w:val="24"/>
        </w:rPr>
        <w:instrText>ADDIN CSL_CITATION { "citationItems" : [ { "id" : "ITEM-1", "itemData" : { "DOI" : "10.1016/S0022-4359(01)00041-0", "abstract" : "Value creation is widely discussed in the practitioner literature and is often a part of organizations' mission statements and objectives. It is seen by many commentators as the key to long-term success, with Albrecht (1992, p 7) arguing that \"the only thing that matters in the new world of quality is delivering customer value.\" Despite this emphasis, little research has addressed the value construct itself and there is no well-accepted value measure, even in the retail environment in which customers evaluate products before purchase. The present research project describes the development of a 19-item measure, PERVAL, that can be used to assess customers' perceptions of the value of a consumer durable good at a brand level. The measure was developed for use in a retail purchase situation to determine what consumption values drive purchase attitude and behavior. Four distinct, value dimensions emerged that were termed emotional, social, quality/performance and price/value for money. The reliability and validity of the scale was assessed in a prepurchase situation, using exploratory and confirmatory analyses. All four value dimensions were found to help significantly in explaining attitudes and behavior. The scale was also tested in a postpurchase situation and found to be both reliable and valid in this context as well. The PERVAL scale has a variety of potential applications and can serve as a framework for further empirical research in this important area. \u00a9 2001 by New York University. All rights reserved.", "author" : [ { "dropping-particle" : "", "family" : "Sweeney", "given" : "J C", "non-dropping-particle" : "", "parse-names" : false, "suffix" : "" }, { "dropping-particle" : "", "family" : "Soutar", "given" : "G N", "non-dropping-particle" : "", "parse-names" : false, "suffix" : "" } ], "container-title" : "Journal of Retailing", "id" : "ITEM-1", "issue" : "2", "issued" : { "date-parts" : [ [ "2001" ] ] }, "note" : "Cited By :826\n\nExport Date: 3 September 2015", "page" : "203-220", "title" : "Consumer perceived value: The development of a multiple item scale", "type" : "article-journal", "volume" : "77" }, "uris" : [ "http://www.mendeley.com/documents/?uuid=8d341a46-8ba2-4038-b14c-7bd526623cbd" ] } ], "mendeley" : { "formattedCitation" : "(Sweeney &amp; Soutar, 2001)", "plainTextFormattedCitation" : "(Sweeney &amp; Soutar, 2001)", "previouslyFormattedCitation" : "(Sweeney &amp; Soutar, 2001)" }, "properties" : { "noteIndex" : 0 }, "schema" : "https://github.com/citation-style-language/schema/raw/master/csl-citation.json" }</w:instrText>
      </w:r>
      <w:r w:rsidR="00A3661C" w:rsidRPr="000C1C14">
        <w:rPr>
          <w:rFonts w:ascii="Arial" w:hAnsi="Arial" w:cs="Arial"/>
          <w:color w:val="2E74B5" w:themeColor="accent1" w:themeShade="BF"/>
          <w:sz w:val="24"/>
          <w:szCs w:val="24"/>
        </w:rPr>
        <w:fldChar w:fldCharType="separate"/>
      </w:r>
      <w:r w:rsidR="00A3661C" w:rsidRPr="00431BA7">
        <w:rPr>
          <w:rFonts w:ascii="Arial" w:hAnsi="Arial" w:cs="Arial"/>
          <w:noProof/>
          <w:color w:val="2E74B5" w:themeColor="accent1" w:themeShade="BF"/>
          <w:sz w:val="24"/>
          <w:szCs w:val="24"/>
        </w:rPr>
        <w:t>(Sweeney &amp; Soutar, 2001)</w:t>
      </w:r>
      <w:r w:rsidR="00A3661C" w:rsidRPr="000C1C14">
        <w:rPr>
          <w:rFonts w:ascii="Arial" w:hAnsi="Arial" w:cs="Arial"/>
          <w:color w:val="2E74B5" w:themeColor="accent1" w:themeShade="BF"/>
          <w:sz w:val="24"/>
          <w:szCs w:val="24"/>
        </w:rPr>
        <w:fldChar w:fldCharType="end"/>
      </w:r>
      <w:r>
        <w:rPr>
          <w:rFonts w:ascii="Arial" w:hAnsi="Arial" w:cs="Arial"/>
          <w:color w:val="2E74B5" w:themeColor="accent1" w:themeShade="BF"/>
          <w:sz w:val="24"/>
          <w:szCs w:val="24"/>
        </w:rPr>
        <w:t>.</w:t>
      </w:r>
    </w:p>
    <w:p w14:paraId="7B47116A" w14:textId="229ADCAA" w:rsidR="000C1C14" w:rsidRPr="000C1C14" w:rsidRDefault="000C1C14" w:rsidP="000C1C14">
      <w:pPr>
        <w:jc w:val="both"/>
        <w:rPr>
          <w:rFonts w:ascii="Arial" w:hAnsi="Arial" w:cs="Arial"/>
          <w:color w:val="2E74B5" w:themeColor="accent1" w:themeShade="BF"/>
          <w:sz w:val="24"/>
          <w:szCs w:val="24"/>
        </w:rPr>
      </w:pPr>
      <w:r w:rsidRPr="000C1C14">
        <w:rPr>
          <w:rFonts w:ascii="Arial" w:hAnsi="Arial" w:cs="Arial"/>
          <w:color w:val="2E74B5" w:themeColor="accent1" w:themeShade="BF"/>
          <w:sz w:val="24"/>
          <w:szCs w:val="24"/>
        </w:rPr>
        <w:t xml:space="preserve">Sin embargo, no para todos los </w:t>
      </w:r>
      <w:r w:rsidR="00696778" w:rsidRPr="000C1C14">
        <w:rPr>
          <w:rFonts w:ascii="Arial" w:hAnsi="Arial" w:cs="Arial"/>
          <w:color w:val="2E74B5" w:themeColor="accent1" w:themeShade="BF"/>
          <w:sz w:val="24"/>
          <w:szCs w:val="24"/>
        </w:rPr>
        <w:t>ámbitos</w:t>
      </w:r>
      <w:r w:rsidRPr="000C1C14">
        <w:rPr>
          <w:rFonts w:ascii="Arial" w:hAnsi="Arial" w:cs="Arial"/>
          <w:color w:val="2E74B5" w:themeColor="accent1" w:themeShade="BF"/>
          <w:sz w:val="24"/>
          <w:szCs w:val="24"/>
        </w:rPr>
        <w:t xml:space="preserve"> funcionan las tres dimensiones, toda vez que para los entornos web por ejemplo, va mas alla de las mismas, de</w:t>
      </w:r>
      <w:r w:rsidR="00696778">
        <w:rPr>
          <w:rFonts w:ascii="Arial" w:hAnsi="Arial" w:cs="Arial"/>
          <w:color w:val="2E74B5" w:themeColor="accent1" w:themeShade="BF"/>
          <w:sz w:val="24"/>
          <w:szCs w:val="24"/>
        </w:rPr>
        <w:t>s</w:t>
      </w:r>
      <w:r w:rsidRPr="000C1C14">
        <w:rPr>
          <w:rFonts w:ascii="Arial" w:hAnsi="Arial" w:cs="Arial"/>
          <w:color w:val="2E74B5" w:themeColor="accent1" w:themeShade="BF"/>
          <w:sz w:val="24"/>
          <w:szCs w:val="24"/>
        </w:rPr>
        <w:t xml:space="preserve">de el punto de vista VALCONEX planteado por </w:t>
      </w:r>
      <w:r w:rsidRPr="000C1C14">
        <w:rPr>
          <w:rFonts w:ascii="Arial" w:hAnsi="Arial" w:cs="Arial"/>
          <w:color w:val="2E74B5" w:themeColor="accent1" w:themeShade="BF"/>
          <w:sz w:val="24"/>
          <w:szCs w:val="24"/>
        </w:rPr>
        <w:fldChar w:fldCharType="begin" w:fldLock="1"/>
      </w:r>
      <w:r w:rsidRPr="000C1C14">
        <w:rPr>
          <w:rFonts w:ascii="Arial" w:hAnsi="Arial" w:cs="Arial"/>
          <w:color w:val="2E74B5" w:themeColor="accent1" w:themeShade="BF"/>
          <w:sz w:val="24"/>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"Helkkulla, Anu &amp; Pihlstrom", "given" : "Minna", "non-dropping-particle" : "", "parse-names" : false, "suffix" : "" } ], "container-title" : "Journal of Chemical Information and Modeling", "id" : "ITEM-1", "issued" : { "date-parts" : [ [ "2013" ] ] }, "page" : "1689-1699", "title" : "From Customer Perceived Value (PERVAL) to Value-in-Context Experience (VALCONEX)", "type" : "article-journal", "volume" : "53" }, "uris" : [ "http://www.mendeley.com/documents/?uuid=2c352027-90f2-46c5-a4ee-93fa338ce101", "http://www.mendeley.com/documents/?uuid=b8bc3e4f-c8d6-4b9f-b6dc-4fb47bcaeeb0" ] } ], "mendeley" : { "formattedCitation" : "(Helkkulla, Anu &amp; Pihlstrom, 2013)", "plainTextFormattedCitation" : "(Helkkulla, Anu &amp; Pihlstrom, 2013)", "previouslyFormattedCitation" : "(Helkkulla, Anu &amp; Pihlstrom, 2013)" }, "properties" : { "noteIndex" : 0 }, "schema" : "https://github.com/citation-style-language/schema/raw/master/csl-citation.json" }</w:instrText>
      </w:r>
      <w:r w:rsidRPr="000C1C14">
        <w:rPr>
          <w:rFonts w:ascii="Arial" w:hAnsi="Arial" w:cs="Arial"/>
          <w:color w:val="2E74B5" w:themeColor="accent1" w:themeShade="BF"/>
          <w:sz w:val="24"/>
          <w:szCs w:val="24"/>
        </w:rPr>
        <w:fldChar w:fldCharType="separate"/>
      </w:r>
      <w:r w:rsidRPr="000C1C14">
        <w:rPr>
          <w:rFonts w:ascii="Arial" w:hAnsi="Arial" w:cs="Arial"/>
          <w:noProof/>
          <w:color w:val="2E74B5" w:themeColor="accent1" w:themeShade="BF"/>
          <w:sz w:val="24"/>
          <w:szCs w:val="24"/>
        </w:rPr>
        <w:t>(Helkkulla, Anu &amp; Pihlstrom, 2013)</w:t>
      </w:r>
      <w:r w:rsidRPr="000C1C14">
        <w:rPr>
          <w:rFonts w:ascii="Arial" w:hAnsi="Arial" w:cs="Arial"/>
          <w:color w:val="2E74B5" w:themeColor="accent1" w:themeShade="BF"/>
          <w:sz w:val="24"/>
          <w:szCs w:val="24"/>
        </w:rPr>
        <w:fldChar w:fldCharType="end"/>
      </w:r>
      <w:r w:rsidRPr="000C1C14">
        <w:rPr>
          <w:rFonts w:ascii="Arial" w:hAnsi="Arial" w:cs="Arial"/>
          <w:color w:val="2E74B5" w:themeColor="accent1" w:themeShade="BF"/>
          <w:sz w:val="24"/>
          <w:szCs w:val="24"/>
        </w:rPr>
        <w:t xml:space="preserve">. Se amerita un trabajo que revise este asunto para el sector de seguridad en Colombia. </w:t>
      </w:r>
    </w:p>
    <w:p w14:paraId="70741CBF" w14:textId="77777777" w:rsidR="000C1C14" w:rsidRPr="000C1C14" w:rsidRDefault="000C1C14" w:rsidP="000C1C14">
      <w:pPr>
        <w:jc w:val="both"/>
        <w:rPr>
          <w:rFonts w:ascii="Arial" w:hAnsi="Arial" w:cs="Arial"/>
          <w:color w:val="2E74B5" w:themeColor="accent1" w:themeShade="BF"/>
          <w:sz w:val="24"/>
          <w:szCs w:val="24"/>
        </w:rPr>
      </w:pPr>
    </w:p>
    <w:p w14:paraId="317FB45D" w14:textId="65D1D190" w:rsidR="000C1C14" w:rsidRPr="000C1C14" w:rsidRDefault="000C1C14" w:rsidP="000C1C14">
      <w:pPr>
        <w:pStyle w:val="Epgrafe"/>
        <w:keepNext/>
        <w:jc w:val="center"/>
        <w:rPr>
          <w:color w:val="2E74B5" w:themeColor="accent1" w:themeShade="BF"/>
          <w:sz w:val="20"/>
        </w:rPr>
      </w:pPr>
      <w:bookmarkStart w:id="2" w:name="_Toc309918020"/>
      <w:r w:rsidRPr="000C1C14">
        <w:rPr>
          <w:rFonts w:ascii="Arial" w:hAnsi="Arial" w:cs="Arial"/>
          <w:color w:val="2E74B5" w:themeColor="accent1" w:themeShade="BF"/>
          <w:sz w:val="20"/>
        </w:rPr>
        <w:t xml:space="preserve">Tabla </w:t>
      </w:r>
      <w:r w:rsidR="00A401AF">
        <w:rPr>
          <w:rFonts w:ascii="Arial" w:hAnsi="Arial" w:cs="Arial"/>
          <w:color w:val="2E74B5" w:themeColor="accent1" w:themeShade="BF"/>
          <w:sz w:val="20"/>
        </w:rPr>
        <w:t>1</w:t>
      </w:r>
      <w:r w:rsidR="00A401AF" w:rsidRPr="000C1C14">
        <w:rPr>
          <w:rFonts w:ascii="Arial" w:hAnsi="Arial" w:cs="Arial"/>
          <w:color w:val="2E74B5" w:themeColor="accent1" w:themeShade="BF"/>
          <w:sz w:val="20"/>
        </w:rPr>
        <w:t xml:space="preserve"> </w:t>
      </w:r>
      <w:r w:rsidRPr="000C1C14">
        <w:rPr>
          <w:rFonts w:ascii="Arial" w:hAnsi="Arial" w:cs="Arial"/>
          <w:color w:val="2E74B5" w:themeColor="accent1" w:themeShade="BF"/>
          <w:sz w:val="20"/>
        </w:rPr>
        <w:t>PERVAL comparado con VALCONEX</w:t>
      </w:r>
      <w:bookmarkEnd w:id="2"/>
    </w:p>
    <w:tbl>
      <w:tblPr>
        <w:tblStyle w:val="Tablaconcuadrcula"/>
        <w:tblW w:w="0" w:type="auto"/>
        <w:tblLook w:val="04A0" w:firstRow="1" w:lastRow="0" w:firstColumn="1" w:lastColumn="0" w:noHBand="0" w:noVBand="1"/>
      </w:tblPr>
      <w:tblGrid>
        <w:gridCol w:w="2992"/>
        <w:gridCol w:w="2993"/>
        <w:gridCol w:w="2993"/>
      </w:tblGrid>
      <w:tr w:rsidR="000C1C14" w:rsidRPr="000C1C14" w14:paraId="577AC9CA" w14:textId="77777777" w:rsidTr="000C1C14">
        <w:tc>
          <w:tcPr>
            <w:tcW w:w="2992" w:type="dxa"/>
            <w:shd w:val="clear" w:color="auto" w:fill="7F7F7F" w:themeFill="text1" w:themeFillTint="80"/>
          </w:tcPr>
          <w:p w14:paraId="0B3719B2"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Perspectiva</w:t>
            </w:r>
          </w:p>
        </w:tc>
        <w:tc>
          <w:tcPr>
            <w:tcW w:w="2993" w:type="dxa"/>
            <w:shd w:val="clear" w:color="auto" w:fill="7F7F7F" w:themeFill="text1" w:themeFillTint="80"/>
          </w:tcPr>
          <w:p w14:paraId="5BE18732"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PERVAL</w:t>
            </w:r>
          </w:p>
        </w:tc>
        <w:tc>
          <w:tcPr>
            <w:tcW w:w="2993" w:type="dxa"/>
            <w:shd w:val="clear" w:color="auto" w:fill="7F7F7F" w:themeFill="text1" w:themeFillTint="80"/>
          </w:tcPr>
          <w:p w14:paraId="760C7894"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VALCONEX</w:t>
            </w:r>
          </w:p>
        </w:tc>
      </w:tr>
      <w:tr w:rsidR="000C1C14" w:rsidRPr="000C1C14" w14:paraId="44DA3E64" w14:textId="77777777" w:rsidTr="000C1C14">
        <w:tc>
          <w:tcPr>
            <w:tcW w:w="2992" w:type="dxa"/>
          </w:tcPr>
          <w:p w14:paraId="1C9C2653"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Tipo de resultado</w:t>
            </w:r>
          </w:p>
        </w:tc>
        <w:tc>
          <w:tcPr>
            <w:tcW w:w="2993" w:type="dxa"/>
          </w:tcPr>
          <w:p w14:paraId="2D76ECC2"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Deductivo</w:t>
            </w:r>
          </w:p>
        </w:tc>
        <w:tc>
          <w:tcPr>
            <w:tcW w:w="2993" w:type="dxa"/>
          </w:tcPr>
          <w:p w14:paraId="4665A791"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Inductivo</w:t>
            </w:r>
          </w:p>
        </w:tc>
      </w:tr>
      <w:tr w:rsidR="000C1C14" w:rsidRPr="000C1C14" w14:paraId="5523A6ED" w14:textId="77777777" w:rsidTr="000C1C14">
        <w:tc>
          <w:tcPr>
            <w:tcW w:w="2992" w:type="dxa"/>
          </w:tcPr>
          <w:p w14:paraId="03985E92"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 xml:space="preserve">Enfoque </w:t>
            </w:r>
          </w:p>
        </w:tc>
        <w:tc>
          <w:tcPr>
            <w:tcW w:w="2993" w:type="dxa"/>
          </w:tcPr>
          <w:p w14:paraId="0770AB29"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Racional</w:t>
            </w:r>
          </w:p>
        </w:tc>
        <w:tc>
          <w:tcPr>
            <w:tcW w:w="2993" w:type="dxa"/>
          </w:tcPr>
          <w:p w14:paraId="0862E624"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Fenomenológico (experiencial)</w:t>
            </w:r>
          </w:p>
        </w:tc>
      </w:tr>
      <w:tr w:rsidR="000C1C14" w:rsidRPr="000C1C14" w14:paraId="04569F7A" w14:textId="77777777" w:rsidTr="000C1C14">
        <w:tc>
          <w:tcPr>
            <w:tcW w:w="2992" w:type="dxa"/>
          </w:tcPr>
          <w:p w14:paraId="53C7C69C"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Tipo de datos</w:t>
            </w:r>
          </w:p>
        </w:tc>
        <w:tc>
          <w:tcPr>
            <w:tcW w:w="2993" w:type="dxa"/>
          </w:tcPr>
          <w:p w14:paraId="321B39D2"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Tiene como objetivo presentar los resultados generalizables objetivos que se basan en los datos auto-reportados subjetivos.</w:t>
            </w:r>
          </w:p>
        </w:tc>
        <w:tc>
          <w:tcPr>
            <w:tcW w:w="2993" w:type="dxa"/>
          </w:tcPr>
          <w:p w14:paraId="5985FD63"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Beneficiarios "experiencias subjetivas se justifican como datos. Investigador es parte del fenómeno de la investigación.</w:t>
            </w:r>
          </w:p>
        </w:tc>
      </w:tr>
      <w:tr w:rsidR="000C1C14" w:rsidRPr="000C1C14" w14:paraId="212CD0B8" w14:textId="77777777" w:rsidTr="000C1C14">
        <w:tc>
          <w:tcPr>
            <w:tcW w:w="2992" w:type="dxa"/>
          </w:tcPr>
          <w:p w14:paraId="0A30BD00"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Resultados</w:t>
            </w:r>
          </w:p>
        </w:tc>
        <w:tc>
          <w:tcPr>
            <w:tcW w:w="2993" w:type="dxa"/>
          </w:tcPr>
          <w:p w14:paraId="0ACF6CE3"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Con escalas y medidas lineales. Objetivos en estimaciones fiables y válidas de efectos lineales.</w:t>
            </w:r>
          </w:p>
        </w:tc>
        <w:tc>
          <w:tcPr>
            <w:tcW w:w="2993" w:type="dxa"/>
          </w:tcPr>
          <w:p w14:paraId="529109AB"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Subjetivo, no tiene por objeto mostrar las medidas lineales sino que apunta a las ilustraciones y la comprensión.</w:t>
            </w:r>
          </w:p>
        </w:tc>
      </w:tr>
      <w:tr w:rsidR="000C1C14" w:rsidRPr="000C1C14" w14:paraId="435891FC" w14:textId="77777777" w:rsidTr="000C1C14">
        <w:tc>
          <w:tcPr>
            <w:tcW w:w="2992" w:type="dxa"/>
          </w:tcPr>
          <w:p w14:paraId="4F4FF663"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Perspectiva de valor</w:t>
            </w:r>
          </w:p>
        </w:tc>
        <w:tc>
          <w:tcPr>
            <w:tcW w:w="2993" w:type="dxa"/>
          </w:tcPr>
          <w:p w14:paraId="49AC221C"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Perspectiva como Proveedor de servicios sobre cómo los clientes perciben el valor</w:t>
            </w:r>
          </w:p>
        </w:tc>
        <w:tc>
          <w:tcPr>
            <w:tcW w:w="2993" w:type="dxa"/>
          </w:tcPr>
          <w:p w14:paraId="6BA56675"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 xml:space="preserve">Valor experimentado por el beneficiario individual y socialmente construido (por ejemplo, clientes, representantes de </w:t>
            </w:r>
            <w:r w:rsidRPr="000C1C14">
              <w:rPr>
                <w:rFonts w:ascii="Arial" w:hAnsi="Arial" w:cs="Arial"/>
                <w:color w:val="2E74B5" w:themeColor="accent1" w:themeShade="BF"/>
              </w:rPr>
              <w:lastRenderedPageBreak/>
              <w:t>proveedores de servicios, representantes u otros actores involucrados)</w:t>
            </w:r>
          </w:p>
        </w:tc>
      </w:tr>
      <w:tr w:rsidR="000C1C14" w:rsidRPr="000C1C14" w14:paraId="47D52B4C" w14:textId="77777777" w:rsidTr="000C1C14">
        <w:tc>
          <w:tcPr>
            <w:tcW w:w="2992" w:type="dxa"/>
          </w:tcPr>
          <w:p w14:paraId="37E55793"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lastRenderedPageBreak/>
              <w:t>Perspectiva de tiempo</w:t>
            </w:r>
          </w:p>
        </w:tc>
        <w:tc>
          <w:tcPr>
            <w:tcW w:w="2993" w:type="dxa"/>
          </w:tcPr>
          <w:p w14:paraId="745D72DF"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El valor se percibe en las fases pre y post del consumo del servicio</w:t>
            </w:r>
          </w:p>
        </w:tc>
        <w:tc>
          <w:tcPr>
            <w:tcW w:w="2993" w:type="dxa"/>
          </w:tcPr>
          <w:p w14:paraId="400CD85D"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Experiencias de valor se basan en las experiencias actuales, anteriores y futuros dentro y fuera del contexto del servicio específico.</w:t>
            </w:r>
          </w:p>
        </w:tc>
      </w:tr>
      <w:tr w:rsidR="000C1C14" w:rsidRPr="000C1C14" w14:paraId="5F9B8E5C" w14:textId="77777777" w:rsidTr="000C1C14">
        <w:tc>
          <w:tcPr>
            <w:tcW w:w="2992" w:type="dxa"/>
          </w:tcPr>
          <w:p w14:paraId="57EACF56"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Vivencia y perspectiva imaginaria</w:t>
            </w:r>
          </w:p>
        </w:tc>
        <w:tc>
          <w:tcPr>
            <w:tcW w:w="2993" w:type="dxa"/>
          </w:tcPr>
          <w:p w14:paraId="6620F014"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Se enfoca prácticamente en el valor percibido. No aborda el valor percibido imaginario</w:t>
            </w:r>
          </w:p>
        </w:tc>
        <w:tc>
          <w:tcPr>
            <w:tcW w:w="2993" w:type="dxa"/>
          </w:tcPr>
          <w:p w14:paraId="18A7274E"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Incluye ambas: Experiencia del Valor Vivido e imaginario</w:t>
            </w:r>
          </w:p>
        </w:tc>
      </w:tr>
      <w:tr w:rsidR="000C1C14" w:rsidRPr="000C1C14" w14:paraId="5F076A2A" w14:textId="77777777" w:rsidTr="000C1C14">
        <w:tc>
          <w:tcPr>
            <w:tcW w:w="2992" w:type="dxa"/>
          </w:tcPr>
          <w:p w14:paraId="6DB15402"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Individual Vs Social</w:t>
            </w:r>
          </w:p>
        </w:tc>
        <w:tc>
          <w:tcPr>
            <w:tcW w:w="2993" w:type="dxa"/>
          </w:tcPr>
          <w:p w14:paraId="46F0C2D8"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Los clientes como individuos analizan el efecto del valor sobre lo construido. Tiene como objetivo generalizar los resultados a una población</w:t>
            </w:r>
          </w:p>
        </w:tc>
        <w:tc>
          <w:tcPr>
            <w:tcW w:w="2993" w:type="dxa"/>
          </w:tcPr>
          <w:p w14:paraId="1D6FA486"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La experiencia de valor es individual (intrasubjetivo) y social (intersubjetivo)</w:t>
            </w:r>
          </w:p>
        </w:tc>
      </w:tr>
      <w:tr w:rsidR="000C1C14" w:rsidRPr="000C1C14" w14:paraId="5BE7F56E" w14:textId="77777777" w:rsidTr="000C1C14">
        <w:tc>
          <w:tcPr>
            <w:tcW w:w="2992" w:type="dxa"/>
          </w:tcPr>
          <w:p w14:paraId="3A80C405"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Contexto</w:t>
            </w:r>
          </w:p>
        </w:tc>
        <w:tc>
          <w:tcPr>
            <w:tcW w:w="2993" w:type="dxa"/>
          </w:tcPr>
          <w:p w14:paraId="78ECC9D5"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 xml:space="preserve">Definido por el servicio entregado </w:t>
            </w:r>
          </w:p>
        </w:tc>
        <w:tc>
          <w:tcPr>
            <w:tcW w:w="2993" w:type="dxa"/>
          </w:tcPr>
          <w:p w14:paraId="2F07DE4D"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En el contexto del beneficiario vive y experimenta imaginariamente que se relacionan con el servicio específico</w:t>
            </w:r>
          </w:p>
        </w:tc>
      </w:tr>
      <w:tr w:rsidR="000C1C14" w:rsidRPr="000C1C14" w14:paraId="1BD50D04" w14:textId="77777777" w:rsidTr="000C1C14">
        <w:tc>
          <w:tcPr>
            <w:tcW w:w="2992" w:type="dxa"/>
          </w:tcPr>
          <w:p w14:paraId="6CBF6569"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Forma de conocimiento</w:t>
            </w:r>
          </w:p>
        </w:tc>
        <w:tc>
          <w:tcPr>
            <w:tcW w:w="2993" w:type="dxa"/>
          </w:tcPr>
          <w:p w14:paraId="05A24EEE"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Basado en hipótesis teóricamente justificadas</w:t>
            </w:r>
          </w:p>
        </w:tc>
        <w:tc>
          <w:tcPr>
            <w:tcW w:w="2993" w:type="dxa"/>
          </w:tcPr>
          <w:p w14:paraId="3EBAB596"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Decisiones que se basa en la comprensión anterior (espiral hermenéutica)</w:t>
            </w:r>
          </w:p>
        </w:tc>
      </w:tr>
    </w:tbl>
    <w:p w14:paraId="57611DE8" w14:textId="676FFABA" w:rsidR="000C1C14" w:rsidRPr="000C1C14" w:rsidRDefault="005159CC" w:rsidP="000C1C14">
      <w:pPr>
        <w:jc w:val="both"/>
        <w:rPr>
          <w:rFonts w:ascii="Arial" w:hAnsi="Arial" w:cs="Arial"/>
          <w:b/>
          <w:color w:val="2E74B5" w:themeColor="accent1" w:themeShade="BF"/>
          <w:sz w:val="20"/>
          <w:szCs w:val="24"/>
        </w:rPr>
      </w:pPr>
      <w:r>
        <w:rPr>
          <w:rFonts w:ascii="Arial" w:hAnsi="Arial" w:cs="Arial"/>
          <w:b/>
          <w:color w:val="2E74B5" w:themeColor="accent1" w:themeShade="BF"/>
          <w:sz w:val="20"/>
          <w:szCs w:val="24"/>
        </w:rPr>
        <w:t xml:space="preserve">Fuente: Adaptado de </w:t>
      </w:r>
      <w:r w:rsidR="000C1C14" w:rsidRPr="000C1C14">
        <w:rPr>
          <w:rFonts w:ascii="Arial" w:hAnsi="Arial" w:cs="Arial"/>
          <w:b/>
          <w:color w:val="2E74B5" w:themeColor="accent1" w:themeShade="BF"/>
          <w:sz w:val="20"/>
          <w:szCs w:val="24"/>
        </w:rPr>
        <w:fldChar w:fldCharType="begin" w:fldLock="1"/>
      </w:r>
      <w:r w:rsidR="000C1C14" w:rsidRPr="000C1C14">
        <w:rPr>
          <w:rFonts w:ascii="Arial" w:hAnsi="Arial" w:cs="Arial"/>
          <w:b/>
          <w:color w:val="2E74B5" w:themeColor="accent1" w:themeShade="BF"/>
          <w:sz w:val="20"/>
          <w:szCs w:val="24"/>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"Helkkulla, Anu &amp; Pihlstrom", "given" : "Minna", "non-dropping-particle" : "", "parse-names" : false, "suffix" : "" } ], "container-title" : "Journal of Chemical Information and Modeling", "id" : "ITEM-1", "issued" : { "date-parts" : [ [ "2013" ] ] }, "page" : "1689-1699", "title" : "From Customer Perceived Value (PERVAL) to Value-in-Context Experience (VALCONEX)", "type" : "article-journal", "volume" : "53" }, "uris" : [ "http://www.mendeley.com/documents/?uuid=2c352027-90f2-46c5-a4ee-93fa338ce101", "http://www.mendeley.com/documents/?uuid=b8bc3e4f-c8d6-4b9f-b6dc-4fb47bcaeeb0" ] } ], "mendeley" : { "formattedCitation" : "(Helkkulla, Anu &amp; Pihlstrom, 2013)", "plainTextFormattedCitation" : "(Helkkulla, Anu &amp; Pihlstrom, 2013)", "previouslyFormattedCitation" : "(Helkkulla, Anu &amp; Pihlstrom, 2013)" }, "properties" : { "noteIndex" : 0 }, "schema" : "https://github.com/citation-style-language/schema/raw/master/csl-citation.json" }</w:instrText>
      </w:r>
      <w:r w:rsidR="000C1C14" w:rsidRPr="000C1C14">
        <w:rPr>
          <w:rFonts w:ascii="Arial" w:hAnsi="Arial" w:cs="Arial"/>
          <w:b/>
          <w:color w:val="2E74B5" w:themeColor="accent1" w:themeShade="BF"/>
          <w:sz w:val="20"/>
          <w:szCs w:val="24"/>
        </w:rPr>
        <w:fldChar w:fldCharType="separate"/>
      </w:r>
      <w:r w:rsidR="000C1C14" w:rsidRPr="000C1C14">
        <w:rPr>
          <w:rFonts w:ascii="Arial" w:hAnsi="Arial" w:cs="Arial"/>
          <w:noProof/>
          <w:color w:val="2E74B5" w:themeColor="accent1" w:themeShade="BF"/>
          <w:sz w:val="20"/>
          <w:szCs w:val="24"/>
        </w:rPr>
        <w:t>(Helkkulla, Anu &amp; Pihlstrom, 2013)</w:t>
      </w:r>
      <w:r w:rsidR="000C1C14" w:rsidRPr="000C1C14">
        <w:rPr>
          <w:rFonts w:ascii="Arial" w:hAnsi="Arial" w:cs="Arial"/>
          <w:b/>
          <w:color w:val="2E74B5" w:themeColor="accent1" w:themeShade="BF"/>
          <w:sz w:val="20"/>
          <w:szCs w:val="24"/>
        </w:rPr>
        <w:fldChar w:fldCharType="end"/>
      </w:r>
    </w:p>
    <w:p w14:paraId="43C523C0" w14:textId="77777777" w:rsidR="000C1C14" w:rsidRPr="000C1C14" w:rsidRDefault="000C1C14" w:rsidP="000C1C14">
      <w:pPr>
        <w:jc w:val="both"/>
        <w:rPr>
          <w:rFonts w:ascii="Arial" w:hAnsi="Arial" w:cs="Arial"/>
          <w:color w:val="2E74B5" w:themeColor="accent1" w:themeShade="BF"/>
          <w:sz w:val="24"/>
          <w:szCs w:val="24"/>
        </w:rPr>
      </w:pPr>
    </w:p>
    <w:p w14:paraId="7CF947C0" w14:textId="77777777" w:rsidR="000C1C14" w:rsidRPr="000C1C14" w:rsidRDefault="000C1C14" w:rsidP="000C1C14">
      <w:pPr>
        <w:pStyle w:val="Ttulo2"/>
        <w:numPr>
          <w:ilvl w:val="1"/>
          <w:numId w:val="4"/>
        </w:numPr>
        <w:spacing w:line="360" w:lineRule="auto"/>
        <w:rPr>
          <w:rFonts w:ascii="Arial" w:hAnsi="Arial"/>
          <w:color w:val="2E74B5" w:themeColor="accent1" w:themeShade="BF"/>
          <w:sz w:val="24"/>
        </w:rPr>
      </w:pPr>
      <w:bookmarkStart w:id="3" w:name="_Toc309926993"/>
      <w:r w:rsidRPr="000C1C14">
        <w:rPr>
          <w:rFonts w:ascii="Arial" w:hAnsi="Arial"/>
          <w:color w:val="2E74B5" w:themeColor="accent1" w:themeShade="BF"/>
          <w:sz w:val="24"/>
        </w:rPr>
        <w:t>Lógica dominante del servicio (LDS)</w:t>
      </w:r>
      <w:bookmarkEnd w:id="3"/>
      <w:r w:rsidRPr="000C1C14">
        <w:rPr>
          <w:rFonts w:ascii="Arial" w:hAnsi="Arial"/>
          <w:color w:val="2E74B5" w:themeColor="accent1" w:themeShade="BF"/>
          <w:sz w:val="24"/>
        </w:rPr>
        <w:t xml:space="preserve"> </w:t>
      </w:r>
    </w:p>
    <w:p w14:paraId="02428A23" w14:textId="77777777" w:rsidR="000C1C14" w:rsidRPr="000C1C14" w:rsidRDefault="000C1C14" w:rsidP="000C1C14">
      <w:pPr>
        <w:jc w:val="both"/>
        <w:rPr>
          <w:rFonts w:ascii="Arial" w:hAnsi="Arial" w:cs="Arial"/>
          <w:color w:val="2E74B5" w:themeColor="accent1" w:themeShade="BF"/>
          <w:sz w:val="24"/>
          <w:szCs w:val="24"/>
        </w:rPr>
      </w:pPr>
      <w:r w:rsidRPr="000C1C14">
        <w:rPr>
          <w:rFonts w:ascii="Arial" w:hAnsi="Arial" w:cs="Arial"/>
          <w:color w:val="2E74B5" w:themeColor="accent1" w:themeShade="BF"/>
          <w:sz w:val="24"/>
          <w:szCs w:val="24"/>
        </w:rPr>
        <w:t xml:space="preserve">Como se mencionó previamente, la LDS cuenta con ocho premisas que se destacan de la forma tradicional de concebir el servicio basado en los bienes, para verlos desde la óptica del servicio mismo </w:t>
      </w:r>
      <w:r w:rsidRPr="000C1C14">
        <w:rPr>
          <w:rFonts w:ascii="Arial" w:hAnsi="Arial" w:cs="Arial"/>
          <w:color w:val="2E74B5" w:themeColor="accent1" w:themeShade="BF"/>
          <w:sz w:val="24"/>
          <w:szCs w:val="24"/>
        </w:rPr>
        <w:fldChar w:fldCharType="begin" w:fldLock="1"/>
      </w:r>
      <w:r w:rsidRPr="000C1C14">
        <w:rPr>
          <w:rFonts w:ascii="Arial" w:hAnsi="Arial" w:cs="Arial"/>
          <w:color w:val="2E74B5" w:themeColor="accent1" w:themeShade="BF"/>
          <w:sz w:val="24"/>
          <w:szCs w:val="24"/>
        </w:rPr>
        <w:instrText>ADDIN CSL_CITATION { "citationItems" : [ { "id" : "ITEM-1", "itemData" : { "DOI" : "10.1509/jmkg.68.1.1.24036", "ISBN" : "0022-2429 U6 - ctx_ver=Z39.88-2004&amp;ctx_enc=info%3Aofi%2Fenc%3AUTF-8&amp;rfr_id=info:sid/summon.serialssolutions.com&amp;rft_val_fmt=info:ofi/fmt:kev:mtx:journal&amp;rft.genre=article&amp;rft.atitle=Evolving+to+a+New+Dominant+Logic+for+Marketing&amp;rft.jtitle=The+Journal+of+Marketing&amp;rft.au=Vargo%2C+Stephen+L&amp;rft.au=Lusch%2C+Robert+F&amp;rft.date=2004-01-01&amp;rft.pub=American+Marketing+Association&amp;rft.issn=0022-2429&amp;rft.volume=68&amp;rft.issue=1&amp;rft.spage=1&amp;rft.epage=17&amp;rft.externalDocID=10.2307%2F30161971 U7 - Journal Artic", "ISSN" : "0022-2429", "PMID" : "12142574", "abstract" : "Describes the Service-Centered Dominant Logic (S-D logic). Firms should focus on more than just creating goods: customer-centric and relational focus. This makes operant (non-physical) resources even more important than operand (physical) resources. As a result, the exchange of information has become more important (because this is part of relationships). (*) Even one-time transations should be viewed from relational process (*) Relates to the days during which firms actually knew their customers (and vice versa)", "author" : [ { "dropping-particle" : "", "family" : "Vargo", "given" : "S", "non-dropping-particle" : "", "parse-names" : false, "suffix" : "" }, { "dropping-particle" : "", "family" : "Lusch", "given" : "R", "non-dropping-particle" : "", "parse-names" : false, "suffix" : "" } ], "container-title" : "Journal of Marketing", "id" : "ITEM-1", "issue" : "1", "issued" : { "date-parts" : [ [ "2004" ] ] }, "page" : "1-17", "title" : "Evolving to a New Dominant Logic for Marketing", "type" : "article-journal", "volume" : "68" }, "uris" : [ "http://www.mendeley.com/documents/?uuid=c95754d4-0dd4-40a5-a2f1-7bc14c928a08", "http://www.mendeley.com/documents/?uuid=b8e23ab6-be09-4bef-81b8-7545d37eb99b" ] } ], "mendeley" : { "formattedCitation" : "(Vargo &amp; Lusch, 2004)", "plainTextFormattedCitation" : "(Vargo &amp; Lusch, 2004)", "previouslyFormattedCitation" : "(Vargo &amp; Lusch, 2004)" }, "properties" : { "noteIndex" : 0 }, "schema" : "https://github.com/citation-style-language/schema/raw/master/csl-citation.json" }</w:instrText>
      </w:r>
      <w:r w:rsidRPr="000C1C14">
        <w:rPr>
          <w:rFonts w:ascii="Arial" w:hAnsi="Arial" w:cs="Arial"/>
          <w:color w:val="2E74B5" w:themeColor="accent1" w:themeShade="BF"/>
          <w:sz w:val="24"/>
          <w:szCs w:val="24"/>
        </w:rPr>
        <w:fldChar w:fldCharType="separate"/>
      </w:r>
      <w:r w:rsidRPr="000C1C14">
        <w:rPr>
          <w:rFonts w:ascii="Arial" w:hAnsi="Arial" w:cs="Arial"/>
          <w:noProof/>
          <w:color w:val="2E74B5" w:themeColor="accent1" w:themeShade="BF"/>
          <w:sz w:val="24"/>
          <w:szCs w:val="24"/>
        </w:rPr>
        <w:t>(Vargo &amp; Lusch, 2004)</w:t>
      </w:r>
      <w:r w:rsidRPr="000C1C14">
        <w:rPr>
          <w:rFonts w:ascii="Arial" w:hAnsi="Arial" w:cs="Arial"/>
          <w:color w:val="2E74B5" w:themeColor="accent1" w:themeShade="BF"/>
          <w:sz w:val="24"/>
          <w:szCs w:val="24"/>
        </w:rPr>
        <w:fldChar w:fldCharType="end"/>
      </w:r>
      <w:r w:rsidRPr="000C1C14">
        <w:rPr>
          <w:rFonts w:ascii="Arial" w:hAnsi="Arial" w:cs="Arial"/>
          <w:color w:val="2E74B5" w:themeColor="accent1" w:themeShade="BF"/>
          <w:sz w:val="24"/>
          <w:szCs w:val="24"/>
        </w:rPr>
        <w:t xml:space="preserve">. Las ocho premisas incluidas son: La unidad primaria de intercambio, el rol de los bienes, el rol del consumidor, significado de valor y quien lo determina,  interacción consumidor-proveedor y la fuente de crecimiento económico. </w:t>
      </w:r>
    </w:p>
    <w:p w14:paraId="4DBA1E15" w14:textId="77777777" w:rsidR="000C1C14" w:rsidRPr="000C1C14" w:rsidRDefault="000C1C14" w:rsidP="000C1C14">
      <w:pPr>
        <w:rPr>
          <w:color w:val="2E74B5" w:themeColor="accent1" w:themeShade="BF"/>
        </w:rPr>
      </w:pPr>
    </w:p>
    <w:p w14:paraId="7820DC67" w14:textId="0EDD57AA" w:rsidR="000C1C14" w:rsidRPr="000C1C14" w:rsidRDefault="000C1C14" w:rsidP="000C1C14">
      <w:pPr>
        <w:pStyle w:val="Epgrafe"/>
        <w:keepNext/>
        <w:jc w:val="center"/>
        <w:rPr>
          <w:rFonts w:ascii="Arial" w:hAnsi="Arial" w:cs="Arial"/>
          <w:color w:val="2E74B5" w:themeColor="accent1" w:themeShade="BF"/>
          <w:sz w:val="20"/>
        </w:rPr>
      </w:pPr>
      <w:bookmarkStart w:id="4" w:name="_Toc309918021"/>
      <w:r w:rsidRPr="000C1C14">
        <w:rPr>
          <w:rFonts w:ascii="Arial" w:hAnsi="Arial" w:cs="Arial"/>
          <w:color w:val="2E74B5" w:themeColor="accent1" w:themeShade="BF"/>
          <w:sz w:val="20"/>
        </w:rPr>
        <w:lastRenderedPageBreak/>
        <w:t xml:space="preserve">Tabla </w:t>
      </w:r>
      <w:r w:rsidR="00A401AF">
        <w:rPr>
          <w:rFonts w:ascii="Arial" w:hAnsi="Arial" w:cs="Arial"/>
          <w:color w:val="2E74B5" w:themeColor="accent1" w:themeShade="BF"/>
          <w:sz w:val="20"/>
        </w:rPr>
        <w:t>2</w:t>
      </w:r>
      <w:r w:rsidR="00A401AF" w:rsidRPr="000C1C14">
        <w:rPr>
          <w:rFonts w:ascii="Arial" w:hAnsi="Arial" w:cs="Arial"/>
          <w:color w:val="2E74B5" w:themeColor="accent1" w:themeShade="BF"/>
          <w:sz w:val="20"/>
        </w:rPr>
        <w:t xml:space="preserve">  </w:t>
      </w:r>
      <w:r w:rsidRPr="000C1C14">
        <w:rPr>
          <w:rFonts w:ascii="Arial" w:hAnsi="Arial" w:cs="Arial"/>
          <w:color w:val="2E74B5" w:themeColor="accent1" w:themeShade="BF"/>
          <w:sz w:val="20"/>
        </w:rPr>
        <w:t>Lógica dominante tradicional y emergente</w:t>
      </w:r>
      <w:bookmarkEnd w:id="4"/>
    </w:p>
    <w:tbl>
      <w:tblPr>
        <w:tblStyle w:val="Tablaconcuadrcula"/>
        <w:tblW w:w="0" w:type="auto"/>
        <w:jc w:val="center"/>
        <w:tblLook w:val="04A0" w:firstRow="1" w:lastRow="0" w:firstColumn="1" w:lastColumn="0" w:noHBand="0" w:noVBand="1"/>
      </w:tblPr>
      <w:tblGrid>
        <w:gridCol w:w="2992"/>
        <w:gridCol w:w="2993"/>
        <w:gridCol w:w="2993"/>
      </w:tblGrid>
      <w:tr w:rsidR="000C1C14" w:rsidRPr="000C1C14" w14:paraId="1EA65A8E" w14:textId="77777777" w:rsidTr="000C1C14">
        <w:trPr>
          <w:trHeight w:val="923"/>
          <w:jc w:val="center"/>
        </w:trPr>
        <w:tc>
          <w:tcPr>
            <w:tcW w:w="2992" w:type="dxa"/>
            <w:shd w:val="clear" w:color="auto" w:fill="7F7F7F" w:themeFill="text1" w:themeFillTint="80"/>
          </w:tcPr>
          <w:p w14:paraId="1FB444EB"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Premisa</w:t>
            </w:r>
          </w:p>
        </w:tc>
        <w:tc>
          <w:tcPr>
            <w:tcW w:w="2993" w:type="dxa"/>
            <w:shd w:val="clear" w:color="auto" w:fill="7F7F7F" w:themeFill="text1" w:themeFillTint="80"/>
          </w:tcPr>
          <w:p w14:paraId="61C4BB9E"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Lógica dominante centrada en bienes</w:t>
            </w:r>
          </w:p>
          <w:p w14:paraId="535E8AD8"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Tradicional</w:t>
            </w:r>
          </w:p>
        </w:tc>
        <w:tc>
          <w:tcPr>
            <w:tcW w:w="2993" w:type="dxa"/>
            <w:shd w:val="clear" w:color="auto" w:fill="7F7F7F" w:themeFill="text1" w:themeFillTint="80"/>
          </w:tcPr>
          <w:p w14:paraId="6D015044"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Lógica dominante centrada en servicio</w:t>
            </w:r>
          </w:p>
          <w:p w14:paraId="66712BB3"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Emergente</w:t>
            </w:r>
          </w:p>
        </w:tc>
      </w:tr>
      <w:tr w:rsidR="000C1C14" w:rsidRPr="000C1C14" w14:paraId="287CDD15" w14:textId="77777777" w:rsidTr="000C1C14">
        <w:trPr>
          <w:jc w:val="center"/>
        </w:trPr>
        <w:tc>
          <w:tcPr>
            <w:tcW w:w="2992" w:type="dxa"/>
          </w:tcPr>
          <w:p w14:paraId="6EECBBF8" w14:textId="77777777" w:rsidR="000C1C14" w:rsidRPr="000C1C14" w:rsidRDefault="000C1C14" w:rsidP="000C1C14">
            <w:pPr>
              <w:jc w:val="both"/>
              <w:rPr>
                <w:rFonts w:ascii="Arial" w:hAnsi="Arial" w:cs="Arial"/>
                <w:color w:val="2E74B5" w:themeColor="accent1" w:themeShade="BF"/>
              </w:rPr>
            </w:pPr>
          </w:p>
          <w:p w14:paraId="0AF416C1"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Unidad primaria de intercambio</w:t>
            </w:r>
          </w:p>
        </w:tc>
        <w:tc>
          <w:tcPr>
            <w:tcW w:w="2993" w:type="dxa"/>
          </w:tcPr>
          <w:p w14:paraId="51198EC1"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Las personas intercambian bienes. Estos bienes sirven principalmente como recursos operando</w:t>
            </w:r>
          </w:p>
        </w:tc>
        <w:tc>
          <w:tcPr>
            <w:tcW w:w="2993" w:type="dxa"/>
          </w:tcPr>
          <w:p w14:paraId="5C865522"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 xml:space="preserve">Las personas intercambian para adquirir beneficios de competencias especializadas o servicios (conocimientos y habilidades). Los conocimientos y habilidades son recursos operantes. </w:t>
            </w:r>
          </w:p>
        </w:tc>
      </w:tr>
      <w:tr w:rsidR="000C1C14" w:rsidRPr="000C1C14" w14:paraId="56EEC946" w14:textId="77777777" w:rsidTr="000C1C14">
        <w:trPr>
          <w:jc w:val="center"/>
        </w:trPr>
        <w:tc>
          <w:tcPr>
            <w:tcW w:w="2992" w:type="dxa"/>
          </w:tcPr>
          <w:p w14:paraId="593A3F67" w14:textId="77777777" w:rsidR="000C1C14" w:rsidRPr="000C1C14" w:rsidRDefault="000C1C14" w:rsidP="000C1C14">
            <w:pPr>
              <w:jc w:val="center"/>
              <w:rPr>
                <w:rFonts w:ascii="Arial" w:hAnsi="Arial" w:cs="Arial"/>
                <w:b/>
                <w:color w:val="2E74B5" w:themeColor="accent1" w:themeShade="BF"/>
              </w:rPr>
            </w:pPr>
          </w:p>
          <w:p w14:paraId="2A9F24EA" w14:textId="77777777" w:rsidR="000C1C14" w:rsidRPr="000C1C14" w:rsidRDefault="000C1C14" w:rsidP="000C1C14">
            <w:pPr>
              <w:jc w:val="center"/>
              <w:rPr>
                <w:rFonts w:ascii="Arial" w:hAnsi="Arial" w:cs="Arial"/>
                <w:b/>
                <w:color w:val="2E74B5" w:themeColor="accent1" w:themeShade="BF"/>
              </w:rPr>
            </w:pPr>
          </w:p>
          <w:p w14:paraId="3657FE53" w14:textId="77777777" w:rsidR="000C1C14" w:rsidRPr="000C1C14" w:rsidRDefault="000C1C14" w:rsidP="000C1C14">
            <w:pPr>
              <w:jc w:val="center"/>
              <w:rPr>
                <w:rFonts w:ascii="Arial" w:hAnsi="Arial" w:cs="Arial"/>
                <w:b/>
                <w:color w:val="2E74B5" w:themeColor="accent1" w:themeShade="BF"/>
              </w:rPr>
            </w:pPr>
          </w:p>
          <w:p w14:paraId="68C47D68" w14:textId="77777777" w:rsidR="000C1C14" w:rsidRPr="000C1C14" w:rsidRDefault="000C1C14" w:rsidP="000C1C14">
            <w:pPr>
              <w:jc w:val="center"/>
              <w:rPr>
                <w:rFonts w:ascii="Arial" w:hAnsi="Arial" w:cs="Arial"/>
                <w:color w:val="2E74B5" w:themeColor="accent1" w:themeShade="BF"/>
              </w:rPr>
            </w:pPr>
            <w:r w:rsidRPr="000C1C14">
              <w:rPr>
                <w:rFonts w:ascii="Arial" w:hAnsi="Arial" w:cs="Arial"/>
                <w:b/>
                <w:color w:val="2E74B5" w:themeColor="accent1" w:themeShade="BF"/>
              </w:rPr>
              <w:t>Rol de los bienes</w:t>
            </w:r>
          </w:p>
        </w:tc>
        <w:tc>
          <w:tcPr>
            <w:tcW w:w="2993" w:type="dxa"/>
          </w:tcPr>
          <w:p w14:paraId="550BF504"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Los bienes son recursos operando y productos finales. Los vendedores toman la materia y cambian su forma, lugar, tiempo, y la posesión.</w:t>
            </w:r>
          </w:p>
        </w:tc>
        <w:tc>
          <w:tcPr>
            <w:tcW w:w="2993" w:type="dxa"/>
          </w:tcPr>
          <w:p w14:paraId="46C38C6B"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Los bienes son transmisores de recursos operantes (conocimiento incorporado); son "productos" intermedios que son utilizados por otros recursos operantes (clientes) como aparatos en los procesos de creación de valor</w:t>
            </w:r>
          </w:p>
        </w:tc>
      </w:tr>
      <w:tr w:rsidR="000C1C14" w:rsidRPr="000C1C14" w14:paraId="7959C7AF" w14:textId="77777777" w:rsidTr="000C1C14">
        <w:trPr>
          <w:jc w:val="center"/>
        </w:trPr>
        <w:tc>
          <w:tcPr>
            <w:tcW w:w="2992" w:type="dxa"/>
          </w:tcPr>
          <w:p w14:paraId="21AC6B8E" w14:textId="77777777" w:rsidR="000C1C14" w:rsidRPr="000C1C14" w:rsidRDefault="000C1C14" w:rsidP="000C1C14">
            <w:pPr>
              <w:jc w:val="center"/>
              <w:rPr>
                <w:rFonts w:ascii="Arial" w:hAnsi="Arial" w:cs="Arial"/>
                <w:b/>
                <w:color w:val="2E74B5" w:themeColor="accent1" w:themeShade="BF"/>
              </w:rPr>
            </w:pPr>
          </w:p>
          <w:p w14:paraId="6EA6FA5A" w14:textId="77777777" w:rsidR="000C1C14" w:rsidRPr="000C1C14" w:rsidRDefault="000C1C14" w:rsidP="000C1C14">
            <w:pPr>
              <w:jc w:val="center"/>
              <w:rPr>
                <w:rFonts w:ascii="Arial" w:hAnsi="Arial" w:cs="Arial"/>
                <w:b/>
                <w:color w:val="2E74B5" w:themeColor="accent1" w:themeShade="BF"/>
              </w:rPr>
            </w:pPr>
          </w:p>
          <w:p w14:paraId="16DF51BF"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Rol del consumidor</w:t>
            </w:r>
          </w:p>
        </w:tc>
        <w:tc>
          <w:tcPr>
            <w:tcW w:w="2993" w:type="dxa"/>
          </w:tcPr>
          <w:p w14:paraId="104FDA64"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El cliente es el destinatario de las mercancías. Los vendedores hacen las cosas a los clientes; los segmentan, penetran, distribuyen, y promueven. El cliente es un recurso operando.</w:t>
            </w:r>
          </w:p>
        </w:tc>
        <w:tc>
          <w:tcPr>
            <w:tcW w:w="2993" w:type="dxa"/>
          </w:tcPr>
          <w:p w14:paraId="6279E52D" w14:textId="77777777" w:rsidR="000C1C14" w:rsidRPr="000C1C14" w:rsidRDefault="000C1C14" w:rsidP="000C1C14">
            <w:pPr>
              <w:jc w:val="both"/>
              <w:rPr>
                <w:rFonts w:ascii="Arial" w:hAnsi="Arial" w:cs="Arial"/>
                <w:color w:val="2E74B5" w:themeColor="accent1" w:themeShade="BF"/>
              </w:rPr>
            </w:pPr>
            <w:r w:rsidRPr="000C1C14">
              <w:rPr>
                <w:rFonts w:ascii="Arial" w:hAnsi="Arial" w:cs="Arial"/>
                <w:color w:val="2E74B5" w:themeColor="accent1" w:themeShade="BF"/>
              </w:rPr>
              <w:t>El cliente es un co-productor del servicio. El marketing es un proceso de hacer las cosas en interacción con el cliente. El cliente es principalmente un recurso operante.</w:t>
            </w:r>
          </w:p>
        </w:tc>
      </w:tr>
      <w:tr w:rsidR="000C1C14" w:rsidRPr="000C1C14" w14:paraId="2EA15995" w14:textId="77777777" w:rsidTr="000C1C14">
        <w:trPr>
          <w:jc w:val="center"/>
        </w:trPr>
        <w:tc>
          <w:tcPr>
            <w:tcW w:w="2992" w:type="dxa"/>
          </w:tcPr>
          <w:p w14:paraId="044E8AB3" w14:textId="77777777" w:rsidR="000C1C14" w:rsidRPr="000C1C14" w:rsidRDefault="000C1C14" w:rsidP="000C1C14">
            <w:pPr>
              <w:jc w:val="center"/>
              <w:rPr>
                <w:rFonts w:ascii="Arial" w:hAnsi="Arial" w:cs="Arial"/>
                <w:b/>
                <w:color w:val="2E74B5" w:themeColor="accent1" w:themeShade="BF"/>
              </w:rPr>
            </w:pPr>
          </w:p>
          <w:p w14:paraId="542BADE6" w14:textId="77777777" w:rsidR="000C1C14" w:rsidRPr="000C1C14" w:rsidRDefault="000C1C14" w:rsidP="000C1C14">
            <w:pPr>
              <w:jc w:val="center"/>
              <w:rPr>
                <w:rFonts w:ascii="Arial" w:hAnsi="Arial" w:cs="Arial"/>
                <w:b/>
                <w:color w:val="2E74B5" w:themeColor="accent1" w:themeShade="BF"/>
              </w:rPr>
            </w:pPr>
          </w:p>
          <w:p w14:paraId="2ABB253A"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Significado de valor y quien lo determina</w:t>
            </w:r>
          </w:p>
        </w:tc>
        <w:tc>
          <w:tcPr>
            <w:tcW w:w="2993" w:type="dxa"/>
          </w:tcPr>
          <w:p w14:paraId="688FDF49"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Valor es determinado por el productor. Está inmerso en el recurso operando (bienes) y se define en términos de "valor de cambio".</w:t>
            </w:r>
          </w:p>
        </w:tc>
        <w:tc>
          <w:tcPr>
            <w:tcW w:w="2993" w:type="dxa"/>
          </w:tcPr>
          <w:p w14:paraId="7275DCB7"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El valor lo percibe y determina el consumidor sobre la base de "valor de uso". Los resultados de valor desde la aplicación beneficiosa de los recursos operantes transmitidos a veces a través de recursos de operando. Las empresas sólo pueden hacer propuestas de valor.</w:t>
            </w:r>
          </w:p>
        </w:tc>
      </w:tr>
      <w:tr w:rsidR="000C1C14" w:rsidRPr="000C1C14" w14:paraId="03C6610C" w14:textId="77777777" w:rsidTr="000C1C14">
        <w:trPr>
          <w:jc w:val="center"/>
        </w:trPr>
        <w:tc>
          <w:tcPr>
            <w:tcW w:w="2992" w:type="dxa"/>
          </w:tcPr>
          <w:p w14:paraId="7EF681C4" w14:textId="77777777" w:rsidR="000C1C14" w:rsidRPr="000C1C14" w:rsidRDefault="000C1C14" w:rsidP="000C1C14">
            <w:pPr>
              <w:jc w:val="center"/>
              <w:rPr>
                <w:rFonts w:ascii="Arial" w:hAnsi="Arial" w:cs="Arial"/>
                <w:b/>
                <w:color w:val="2E74B5" w:themeColor="accent1" w:themeShade="BF"/>
              </w:rPr>
            </w:pPr>
          </w:p>
          <w:p w14:paraId="51DD37D6"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Interacción consumidor-proveedor</w:t>
            </w:r>
          </w:p>
        </w:tc>
        <w:tc>
          <w:tcPr>
            <w:tcW w:w="2993" w:type="dxa"/>
          </w:tcPr>
          <w:p w14:paraId="2EB3DB7E"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El cliente es un recurso operando. Los clientes están para crear transacciones con recursos.</w:t>
            </w:r>
          </w:p>
        </w:tc>
        <w:tc>
          <w:tcPr>
            <w:tcW w:w="2993" w:type="dxa"/>
          </w:tcPr>
          <w:p w14:paraId="44F846F1"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El cliente es principalmente un recurso operante. Los clientes son participantes activos en los intercambios relacionales y coproducción.</w:t>
            </w:r>
          </w:p>
        </w:tc>
      </w:tr>
      <w:tr w:rsidR="000C1C14" w:rsidRPr="000C1C14" w14:paraId="639083E6" w14:textId="77777777" w:rsidTr="000C1C14">
        <w:trPr>
          <w:jc w:val="center"/>
        </w:trPr>
        <w:tc>
          <w:tcPr>
            <w:tcW w:w="2992" w:type="dxa"/>
          </w:tcPr>
          <w:p w14:paraId="6C85C680" w14:textId="77777777" w:rsidR="000C1C14" w:rsidRPr="000C1C14" w:rsidRDefault="000C1C14" w:rsidP="000C1C14">
            <w:pPr>
              <w:jc w:val="center"/>
              <w:rPr>
                <w:rFonts w:ascii="Arial" w:hAnsi="Arial" w:cs="Arial"/>
                <w:b/>
                <w:color w:val="2E74B5" w:themeColor="accent1" w:themeShade="BF"/>
              </w:rPr>
            </w:pPr>
          </w:p>
          <w:p w14:paraId="631CFEBB" w14:textId="77777777" w:rsidR="000C1C14" w:rsidRPr="000C1C14" w:rsidRDefault="000C1C14" w:rsidP="000C1C14">
            <w:pPr>
              <w:jc w:val="center"/>
              <w:rPr>
                <w:rFonts w:ascii="Arial" w:hAnsi="Arial" w:cs="Arial"/>
                <w:b/>
                <w:color w:val="2E74B5" w:themeColor="accent1" w:themeShade="BF"/>
              </w:rPr>
            </w:pPr>
            <w:r w:rsidRPr="000C1C14">
              <w:rPr>
                <w:rFonts w:ascii="Arial" w:hAnsi="Arial" w:cs="Arial"/>
                <w:b/>
                <w:color w:val="2E74B5" w:themeColor="accent1" w:themeShade="BF"/>
              </w:rPr>
              <w:t>Fuente de crecimiento economico</w:t>
            </w:r>
          </w:p>
        </w:tc>
        <w:tc>
          <w:tcPr>
            <w:tcW w:w="2993" w:type="dxa"/>
          </w:tcPr>
          <w:p w14:paraId="6A652ADE"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La riqueza se obtiene a partir de los recursos y bienes tangibles excedentes. Consiste en poseer, controlar y producción de recursos operando</w:t>
            </w:r>
          </w:p>
        </w:tc>
        <w:tc>
          <w:tcPr>
            <w:tcW w:w="2993" w:type="dxa"/>
          </w:tcPr>
          <w:p w14:paraId="462A65CF" w14:textId="77777777" w:rsidR="000C1C14" w:rsidRPr="000C1C14" w:rsidRDefault="000C1C14" w:rsidP="000C1C14">
            <w:pPr>
              <w:rPr>
                <w:rFonts w:ascii="Arial" w:hAnsi="Arial" w:cs="Arial"/>
                <w:color w:val="2E74B5" w:themeColor="accent1" w:themeShade="BF"/>
              </w:rPr>
            </w:pPr>
            <w:r w:rsidRPr="000C1C14">
              <w:rPr>
                <w:rFonts w:ascii="Arial" w:hAnsi="Arial" w:cs="Arial"/>
                <w:color w:val="2E74B5" w:themeColor="accent1" w:themeShade="BF"/>
              </w:rPr>
              <w:t>La riqueza se obtiene a través de la aplicación y el intercambio de conocimientos y habilidades especializadas. Representa el derecho al uso futuro de los recursos operantes.</w:t>
            </w:r>
          </w:p>
        </w:tc>
      </w:tr>
    </w:tbl>
    <w:p w14:paraId="3A20F642" w14:textId="4DF29BD1" w:rsidR="000C1C14" w:rsidRPr="000C1C14" w:rsidRDefault="005159CC" w:rsidP="000C1C14">
      <w:pPr>
        <w:jc w:val="both"/>
        <w:rPr>
          <w:rFonts w:ascii="Arial" w:hAnsi="Arial" w:cs="Arial"/>
          <w:b/>
          <w:color w:val="2E74B5" w:themeColor="accent1" w:themeShade="BF"/>
          <w:sz w:val="20"/>
          <w:szCs w:val="24"/>
        </w:rPr>
      </w:pPr>
      <w:r>
        <w:rPr>
          <w:rFonts w:ascii="Arial" w:hAnsi="Arial" w:cs="Arial"/>
          <w:b/>
          <w:color w:val="2E74B5" w:themeColor="accent1" w:themeShade="BF"/>
          <w:sz w:val="20"/>
          <w:szCs w:val="24"/>
        </w:rPr>
        <w:t xml:space="preserve">Fuente: Adaptado de </w:t>
      </w:r>
      <w:r w:rsidR="000C1C14" w:rsidRPr="000C1C14">
        <w:rPr>
          <w:rFonts w:ascii="Arial" w:hAnsi="Arial" w:cs="Arial"/>
          <w:b/>
          <w:color w:val="2E74B5" w:themeColor="accent1" w:themeShade="BF"/>
          <w:sz w:val="20"/>
          <w:szCs w:val="24"/>
        </w:rPr>
        <w:fldChar w:fldCharType="begin" w:fldLock="1"/>
      </w:r>
      <w:r w:rsidR="000C1C14" w:rsidRPr="000C1C14">
        <w:rPr>
          <w:rFonts w:ascii="Arial" w:hAnsi="Arial" w:cs="Arial"/>
          <w:b/>
          <w:color w:val="2E74B5" w:themeColor="accent1" w:themeShade="BF"/>
          <w:sz w:val="20"/>
          <w:szCs w:val="24"/>
        </w:rPr>
        <w:instrText>ADDIN CSL_CITATION { "citationItems" : [ { "id" : "ITEM-1", "itemData" : { "DOI" : "10.1509/jmkg.68.1.1.24036", "ISBN" : "0022-2429 U6 - ctx_ver=Z39.88-2004&amp;ctx_enc=info%3Aofi%2Fenc%3AUTF-8&amp;rfr_id=info:sid/summon.serialssolutions.com&amp;rft_val_fmt=info:ofi/fmt:kev:mtx:journal&amp;rft.genre=article&amp;rft.atitle=Evolving+to+a+New+Dominant+Logic+for+Marketing&amp;rft.jtitle=The+Journal+of+Marketing&amp;rft.au=Vargo%2C+Stephen+L&amp;rft.au=Lusch%2C+Robert+F&amp;rft.date=2004-01-01&amp;rft.pub=American+Marketing+Association&amp;rft.issn=0022-2429&amp;rft.volume=68&amp;rft.issue=1&amp;rft.spage=1&amp;rft.epage=17&amp;rft.externalDocID=10.2307%2F30161971 U7 - Journal Artic", "ISSN" : "0022-2429", "PMID" : "12142574", "abstract" : "Describes the Service-Centered Dominant Logic (S-D logic). Firms should focus on more than just creating goods: customer-centric and relational focus. This makes operant (non-physical) resources even more important than operand (physical) resources. As a result, the exchange of information has become more important (because this is part of relationships). (*) Even one-time transations should be viewed from relational process (*) Relates to the days during which firms actually knew their customers (and vice versa)", "author" : [ { "dropping-particle" : "", "family" : "Vargo", "given" : "S", "non-dropping-particle" : "", "parse-names" : false, "suffix" : "" }, { "dropping-particle" : "", "family" : "Lusch", "given" : "R", "non-dropping-particle" : "", "parse-names" : false, "suffix" : "" } ], "container-title" : "Journal of Marketing", "id" : "ITEM-1", "issue" : "1", "issued" : { "date-parts" : [ [ "2004" ] ] }, "page" : "1-17", "title" : "Evolving to a New Dominant Logic for Marketing", "type" : "article-journal", "volume" : "68" }, "uris" : [ "http://www.mendeley.com/documents/?uuid=c95754d4-0dd4-40a5-a2f1-7bc14c928a08", "http://www.mendeley.com/documents/?uuid=b8e23ab6-be09-4bef-81b8-7545d37eb99b" ] } ], "mendeley" : { "formattedCitation" : "(Vargo &amp; Lusch, 2004)", "plainTextFormattedCitation" : "(Vargo &amp; Lusch, 2004)", "previouslyFormattedCitation" : "(Vargo &amp; Lusch, 2004)" }, "properties" : { "noteIndex" : 0 }, "schema" : "https://github.com/citation-style-language/schema/raw/master/csl-citation.json" }</w:instrText>
      </w:r>
      <w:r w:rsidR="000C1C14" w:rsidRPr="000C1C14">
        <w:rPr>
          <w:rFonts w:ascii="Arial" w:hAnsi="Arial" w:cs="Arial"/>
          <w:b/>
          <w:color w:val="2E74B5" w:themeColor="accent1" w:themeShade="BF"/>
          <w:sz w:val="20"/>
          <w:szCs w:val="24"/>
        </w:rPr>
        <w:fldChar w:fldCharType="separate"/>
      </w:r>
      <w:r w:rsidR="000C1C14" w:rsidRPr="000C1C14">
        <w:rPr>
          <w:rFonts w:ascii="Arial" w:hAnsi="Arial" w:cs="Arial"/>
          <w:noProof/>
          <w:color w:val="2E74B5" w:themeColor="accent1" w:themeShade="BF"/>
          <w:sz w:val="20"/>
          <w:szCs w:val="24"/>
        </w:rPr>
        <w:t>(Vargo &amp; Lusch, 2004)</w:t>
      </w:r>
      <w:r w:rsidR="000C1C14" w:rsidRPr="000C1C14">
        <w:rPr>
          <w:rFonts w:ascii="Arial" w:hAnsi="Arial" w:cs="Arial"/>
          <w:b/>
          <w:color w:val="2E74B5" w:themeColor="accent1" w:themeShade="BF"/>
          <w:sz w:val="20"/>
          <w:szCs w:val="24"/>
        </w:rPr>
        <w:fldChar w:fldCharType="end"/>
      </w:r>
    </w:p>
    <w:p w14:paraId="57C5A315" w14:textId="77777777" w:rsidR="00093A89" w:rsidRDefault="00093A89" w:rsidP="00BF30F7">
      <w:pPr>
        <w:rPr>
          <w:rFonts w:ascii="Arial" w:hAnsi="Arial" w:cs="Arial"/>
          <w:b/>
          <w:sz w:val="24"/>
          <w:szCs w:val="24"/>
        </w:rPr>
      </w:pPr>
    </w:p>
    <w:p w14:paraId="540E4F6B" w14:textId="77777777" w:rsidR="00BF30F7" w:rsidRDefault="00BF30F7" w:rsidP="00BF30F7">
      <w:pPr>
        <w:rPr>
          <w:rFonts w:ascii="Arial" w:hAnsi="Arial" w:cs="Arial"/>
          <w:b/>
          <w:sz w:val="24"/>
          <w:szCs w:val="24"/>
        </w:rPr>
      </w:pPr>
      <w:r>
        <w:rPr>
          <w:rFonts w:ascii="Arial" w:hAnsi="Arial" w:cs="Arial"/>
          <w:b/>
          <w:sz w:val="24"/>
          <w:szCs w:val="24"/>
        </w:rPr>
        <w:t>ESTRATEGIA METODOLÓGICA</w:t>
      </w:r>
    </w:p>
    <w:p w14:paraId="1CA89F0E" w14:textId="072BA21E" w:rsidR="002A42E9" w:rsidRPr="002A42E9" w:rsidRDefault="002A42E9" w:rsidP="00BF30F7">
      <w:pPr>
        <w:rPr>
          <w:rFonts w:ascii="Arial" w:hAnsi="Arial" w:cs="Arial"/>
          <w:color w:val="2E74B5" w:themeColor="accent1" w:themeShade="BF"/>
          <w:sz w:val="24"/>
          <w:szCs w:val="24"/>
        </w:rPr>
      </w:pPr>
      <w:r w:rsidRPr="002A42E9">
        <w:rPr>
          <w:rFonts w:ascii="Arial" w:hAnsi="Arial" w:cs="Arial"/>
          <w:color w:val="2E74B5" w:themeColor="accent1" w:themeShade="BF"/>
          <w:sz w:val="24"/>
          <w:szCs w:val="24"/>
        </w:rPr>
        <w:t xml:space="preserve">El propósito de este estudio es </w:t>
      </w:r>
      <w:r w:rsidR="009B6122">
        <w:rPr>
          <w:rFonts w:ascii="Arial" w:hAnsi="Arial" w:cs="Arial"/>
          <w:color w:val="2E74B5" w:themeColor="accent1" w:themeShade="BF"/>
          <w:sz w:val="24"/>
          <w:szCs w:val="24"/>
        </w:rPr>
        <w:t>conocer</w:t>
      </w:r>
      <w:r w:rsidR="009B6122" w:rsidRPr="002A42E9">
        <w:rPr>
          <w:rFonts w:ascii="Arial" w:hAnsi="Arial" w:cs="Arial"/>
          <w:color w:val="2E74B5" w:themeColor="accent1" w:themeShade="BF"/>
          <w:sz w:val="24"/>
          <w:szCs w:val="24"/>
        </w:rPr>
        <w:t xml:space="preserve"> </w:t>
      </w:r>
      <w:r w:rsidRPr="002A42E9">
        <w:rPr>
          <w:rFonts w:ascii="Arial" w:hAnsi="Arial" w:cs="Arial"/>
          <w:color w:val="2E74B5" w:themeColor="accent1" w:themeShade="BF"/>
          <w:sz w:val="24"/>
          <w:szCs w:val="24"/>
        </w:rPr>
        <w:t>¿Cuál es el valor percibido de los clientes del sector de seguridad privada en Colombia</w:t>
      </w:r>
      <w:r>
        <w:rPr>
          <w:rFonts w:ascii="Arial" w:hAnsi="Arial" w:cs="Arial"/>
          <w:color w:val="2E74B5" w:themeColor="accent1" w:themeShade="BF"/>
          <w:sz w:val="24"/>
          <w:szCs w:val="24"/>
        </w:rPr>
        <w:t xml:space="preserve">, específicamente para los servicios de vigilancia humana y transporte de valores?. </w:t>
      </w:r>
    </w:p>
    <w:p w14:paraId="3A0FC7CB" w14:textId="77777777" w:rsidR="002A42E9" w:rsidRPr="00D8776B" w:rsidRDefault="002A42E9" w:rsidP="002A42E9">
      <w:pPr>
        <w:rPr>
          <w:rFonts w:ascii="Arial" w:hAnsi="Arial" w:cs="Arial"/>
          <w:b/>
          <w:color w:val="2E74B5" w:themeColor="accent1" w:themeShade="BF"/>
          <w:sz w:val="24"/>
          <w:szCs w:val="24"/>
        </w:rPr>
      </w:pPr>
      <w:r w:rsidRPr="00D8776B">
        <w:rPr>
          <w:rFonts w:ascii="Arial" w:hAnsi="Arial" w:cs="Arial"/>
          <w:b/>
          <w:color w:val="2E74B5" w:themeColor="accent1" w:themeShade="BF"/>
          <w:sz w:val="24"/>
          <w:szCs w:val="24"/>
        </w:rPr>
        <w:t>Objetivos</w:t>
      </w:r>
    </w:p>
    <w:p w14:paraId="0A709143" w14:textId="77777777" w:rsidR="002A42E9" w:rsidRPr="00D8776B" w:rsidRDefault="002A42E9" w:rsidP="002A42E9">
      <w:pPr>
        <w:rPr>
          <w:rFonts w:ascii="Arial" w:hAnsi="Arial" w:cs="Arial"/>
          <w:color w:val="2E74B5" w:themeColor="accent1" w:themeShade="BF"/>
          <w:sz w:val="24"/>
          <w:szCs w:val="24"/>
          <w:u w:val="single"/>
        </w:rPr>
      </w:pPr>
      <w:r w:rsidRPr="00D8776B">
        <w:rPr>
          <w:rFonts w:ascii="Arial" w:hAnsi="Arial" w:cs="Arial"/>
          <w:color w:val="2E74B5" w:themeColor="accent1" w:themeShade="BF"/>
          <w:sz w:val="24"/>
          <w:szCs w:val="24"/>
          <w:u w:val="single"/>
        </w:rPr>
        <w:t>General:</w:t>
      </w:r>
    </w:p>
    <w:p w14:paraId="1B817B01" w14:textId="07362213" w:rsidR="002A42E9" w:rsidRPr="002A42E9" w:rsidRDefault="002A42E9" w:rsidP="002A42E9">
      <w:pPr>
        <w:rPr>
          <w:rFonts w:ascii="Arial" w:hAnsi="Arial" w:cs="Arial"/>
          <w:color w:val="2E74B5" w:themeColor="accent1" w:themeShade="BF"/>
          <w:sz w:val="24"/>
          <w:szCs w:val="24"/>
        </w:rPr>
      </w:pPr>
      <w:r w:rsidRPr="002A42E9">
        <w:rPr>
          <w:rFonts w:ascii="Arial" w:hAnsi="Arial" w:cs="Arial"/>
          <w:color w:val="2E74B5" w:themeColor="accent1" w:themeShade="BF"/>
          <w:sz w:val="24"/>
          <w:szCs w:val="24"/>
        </w:rPr>
        <w:t>Identificar el valor que perciben los clientes del sector de seguridad privada en Colombia y a partir de allí, construir una nueva oferta de valor o reforzamiento de la que ya exista</w:t>
      </w:r>
      <w:r w:rsidR="00D8776B">
        <w:rPr>
          <w:rFonts w:ascii="Arial" w:hAnsi="Arial" w:cs="Arial"/>
          <w:color w:val="2E74B5" w:themeColor="accent1" w:themeShade="BF"/>
          <w:sz w:val="24"/>
          <w:szCs w:val="24"/>
        </w:rPr>
        <w:t>.</w:t>
      </w:r>
    </w:p>
    <w:p w14:paraId="515889AA" w14:textId="77777777" w:rsidR="002A42E9" w:rsidRPr="00D8776B" w:rsidRDefault="002A42E9" w:rsidP="002A42E9">
      <w:pPr>
        <w:rPr>
          <w:rFonts w:ascii="Arial" w:hAnsi="Arial" w:cs="Arial"/>
          <w:color w:val="2E74B5" w:themeColor="accent1" w:themeShade="BF"/>
          <w:sz w:val="24"/>
          <w:szCs w:val="24"/>
          <w:u w:val="single"/>
        </w:rPr>
      </w:pPr>
      <w:r w:rsidRPr="00D8776B">
        <w:rPr>
          <w:rFonts w:ascii="Arial" w:hAnsi="Arial" w:cs="Arial"/>
          <w:color w:val="2E74B5" w:themeColor="accent1" w:themeShade="BF"/>
          <w:sz w:val="24"/>
          <w:szCs w:val="24"/>
          <w:u w:val="single"/>
        </w:rPr>
        <w:t>Específicos:</w:t>
      </w:r>
    </w:p>
    <w:p w14:paraId="4CA6105B" w14:textId="77777777" w:rsidR="002A42E9" w:rsidRPr="002A42E9" w:rsidRDefault="002A42E9" w:rsidP="002A42E9">
      <w:pPr>
        <w:rPr>
          <w:rFonts w:ascii="Arial" w:hAnsi="Arial" w:cs="Arial"/>
          <w:color w:val="2E74B5" w:themeColor="accent1" w:themeShade="BF"/>
          <w:sz w:val="24"/>
          <w:szCs w:val="24"/>
        </w:rPr>
      </w:pPr>
      <w:r w:rsidRPr="002A42E9">
        <w:rPr>
          <w:rFonts w:ascii="Arial" w:hAnsi="Arial" w:cs="Arial"/>
          <w:color w:val="2E74B5" w:themeColor="accent1" w:themeShade="BF"/>
          <w:sz w:val="24"/>
          <w:szCs w:val="24"/>
        </w:rPr>
        <w:t>a.</w:t>
      </w:r>
      <w:r w:rsidRPr="002A42E9">
        <w:rPr>
          <w:rFonts w:ascii="Arial" w:hAnsi="Arial" w:cs="Arial"/>
          <w:color w:val="2E74B5" w:themeColor="accent1" w:themeShade="BF"/>
          <w:sz w:val="24"/>
          <w:szCs w:val="24"/>
        </w:rPr>
        <w:tab/>
        <w:t xml:space="preserve">Conocer la influencia del cliente en la creación de valor </w:t>
      </w:r>
    </w:p>
    <w:p w14:paraId="19CE457B" w14:textId="77777777" w:rsidR="002A42E9" w:rsidRPr="002A42E9" w:rsidRDefault="002A42E9" w:rsidP="002A42E9">
      <w:pPr>
        <w:rPr>
          <w:rFonts w:ascii="Arial" w:hAnsi="Arial" w:cs="Arial"/>
          <w:color w:val="2E74B5" w:themeColor="accent1" w:themeShade="BF"/>
          <w:sz w:val="24"/>
          <w:szCs w:val="24"/>
        </w:rPr>
      </w:pPr>
      <w:r w:rsidRPr="002A42E9">
        <w:rPr>
          <w:rFonts w:ascii="Arial" w:hAnsi="Arial" w:cs="Arial"/>
          <w:color w:val="2E74B5" w:themeColor="accent1" w:themeShade="BF"/>
          <w:sz w:val="24"/>
          <w:szCs w:val="24"/>
        </w:rPr>
        <w:t>b.</w:t>
      </w:r>
      <w:r w:rsidRPr="002A42E9">
        <w:rPr>
          <w:rFonts w:ascii="Arial" w:hAnsi="Arial" w:cs="Arial"/>
          <w:color w:val="2E74B5" w:themeColor="accent1" w:themeShade="BF"/>
          <w:sz w:val="24"/>
          <w:szCs w:val="24"/>
        </w:rPr>
        <w:tab/>
        <w:t>Validar que el cliente es co-creador del servicio</w:t>
      </w:r>
    </w:p>
    <w:p w14:paraId="0BEAA2E6" w14:textId="42C5F7C3" w:rsidR="002A42E9" w:rsidRPr="00774EB3" w:rsidRDefault="002A42E9" w:rsidP="00BF30F7">
      <w:pPr>
        <w:rPr>
          <w:rFonts w:ascii="Arial" w:hAnsi="Arial" w:cs="Arial"/>
          <w:b/>
          <w:sz w:val="24"/>
          <w:szCs w:val="24"/>
        </w:rPr>
      </w:pPr>
      <w:r w:rsidRPr="002A42E9">
        <w:rPr>
          <w:rFonts w:ascii="Arial" w:hAnsi="Arial" w:cs="Arial"/>
          <w:color w:val="2E74B5" w:themeColor="accent1" w:themeShade="BF"/>
          <w:sz w:val="24"/>
          <w:szCs w:val="24"/>
        </w:rPr>
        <w:t>c.</w:t>
      </w:r>
      <w:r w:rsidRPr="002A42E9">
        <w:rPr>
          <w:rFonts w:ascii="Arial" w:hAnsi="Arial" w:cs="Arial"/>
          <w:color w:val="2E74B5" w:themeColor="accent1" w:themeShade="BF"/>
          <w:sz w:val="24"/>
          <w:szCs w:val="24"/>
        </w:rPr>
        <w:tab/>
        <w:t>Identificar nuevas ofertas de valor al cliente</w:t>
      </w:r>
    </w:p>
    <w:p w14:paraId="4409A033" w14:textId="7CDCECC8" w:rsidR="00717A71" w:rsidRDefault="00D8776B"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investigación puede tener un enfoque </w:t>
      </w:r>
      <w:r w:rsidR="004D339E">
        <w:rPr>
          <w:rFonts w:ascii="Arial" w:hAnsi="Arial" w:cs="Arial"/>
          <w:color w:val="2E74B5" w:themeColor="accent1" w:themeShade="BF"/>
          <w:sz w:val="24"/>
          <w:szCs w:val="24"/>
        </w:rPr>
        <w:t>cualitativ</w:t>
      </w:r>
      <w:r>
        <w:rPr>
          <w:rFonts w:ascii="Arial" w:hAnsi="Arial" w:cs="Arial"/>
          <w:color w:val="2E74B5" w:themeColor="accent1" w:themeShade="BF"/>
          <w:sz w:val="24"/>
          <w:szCs w:val="24"/>
        </w:rPr>
        <w:t>o</w:t>
      </w:r>
      <w:r w:rsidR="006C16C8">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debido </w:t>
      </w:r>
      <w:r w:rsidR="00721DD0">
        <w:rPr>
          <w:rFonts w:ascii="Arial" w:hAnsi="Arial" w:cs="Arial"/>
          <w:color w:val="2E74B5" w:themeColor="accent1" w:themeShade="BF"/>
          <w:sz w:val="24"/>
          <w:szCs w:val="24"/>
        </w:rPr>
        <w:t>a</w:t>
      </w:r>
      <w:r>
        <w:rPr>
          <w:rFonts w:ascii="Arial" w:hAnsi="Arial" w:cs="Arial"/>
          <w:color w:val="2E74B5" w:themeColor="accent1" w:themeShade="BF"/>
          <w:sz w:val="24"/>
          <w:szCs w:val="24"/>
        </w:rPr>
        <w:t xml:space="preserve"> </w:t>
      </w:r>
      <w:r w:rsidR="009B6122">
        <w:rPr>
          <w:rFonts w:ascii="Arial" w:hAnsi="Arial" w:cs="Arial"/>
          <w:color w:val="2E74B5" w:themeColor="accent1" w:themeShade="BF"/>
          <w:sz w:val="24"/>
          <w:szCs w:val="24"/>
        </w:rPr>
        <w:t xml:space="preserve">que </w:t>
      </w:r>
      <w:r w:rsidR="00DB55C7">
        <w:rPr>
          <w:rFonts w:ascii="Arial" w:hAnsi="Arial" w:cs="Arial"/>
          <w:color w:val="2E74B5" w:themeColor="accent1" w:themeShade="BF"/>
          <w:sz w:val="24"/>
          <w:szCs w:val="24"/>
        </w:rPr>
        <w:t>no es posible</w:t>
      </w:r>
      <w:r w:rsidR="009B6122">
        <w:rPr>
          <w:rFonts w:ascii="Arial" w:hAnsi="Arial" w:cs="Arial"/>
          <w:color w:val="2E74B5" w:themeColor="accent1" w:themeShade="BF"/>
          <w:sz w:val="24"/>
          <w:szCs w:val="24"/>
        </w:rPr>
        <w:t xml:space="preserve"> seguir un patrón pedecible debido a la variedad del grupo de estudio y no </w:t>
      </w:r>
      <w:r w:rsidR="00DB55C7">
        <w:rPr>
          <w:rFonts w:ascii="Arial" w:hAnsi="Arial" w:cs="Arial"/>
          <w:color w:val="2E74B5" w:themeColor="accent1" w:themeShade="BF"/>
          <w:sz w:val="24"/>
          <w:szCs w:val="24"/>
        </w:rPr>
        <w:t xml:space="preserve">se pretende </w:t>
      </w:r>
      <w:r w:rsidR="009B6122">
        <w:rPr>
          <w:rFonts w:ascii="Arial" w:hAnsi="Arial" w:cs="Arial"/>
          <w:color w:val="2E74B5" w:themeColor="accent1" w:themeShade="BF"/>
          <w:sz w:val="24"/>
          <w:szCs w:val="24"/>
        </w:rPr>
        <w:t xml:space="preserve">generar una teoría formal de lo estudiado. </w:t>
      </w:r>
      <w:r w:rsidR="00DB55C7">
        <w:rPr>
          <w:rFonts w:ascii="Arial" w:hAnsi="Arial" w:cs="Arial"/>
          <w:color w:val="2E74B5" w:themeColor="accent1" w:themeShade="BF"/>
          <w:sz w:val="24"/>
          <w:szCs w:val="24"/>
        </w:rPr>
        <w:t xml:space="preserve">El </w:t>
      </w:r>
      <w:r w:rsidR="00721DD0">
        <w:rPr>
          <w:rFonts w:ascii="Arial" w:hAnsi="Arial" w:cs="Arial"/>
          <w:color w:val="2E74B5" w:themeColor="accent1" w:themeShade="BF"/>
          <w:sz w:val="24"/>
          <w:szCs w:val="24"/>
        </w:rPr>
        <w:t xml:space="preserve">interés </w:t>
      </w:r>
      <w:r w:rsidR="009B6122">
        <w:rPr>
          <w:rFonts w:ascii="Arial" w:hAnsi="Arial" w:cs="Arial"/>
          <w:color w:val="2E74B5" w:themeColor="accent1" w:themeShade="BF"/>
          <w:sz w:val="24"/>
          <w:szCs w:val="24"/>
        </w:rPr>
        <w:t xml:space="preserve">se basa principalmente en </w:t>
      </w:r>
      <w:r w:rsidR="00A23F88">
        <w:rPr>
          <w:rFonts w:ascii="Arial" w:hAnsi="Arial" w:cs="Arial"/>
          <w:color w:val="2E74B5" w:themeColor="accent1" w:themeShade="BF"/>
          <w:sz w:val="24"/>
          <w:szCs w:val="24"/>
        </w:rPr>
        <w:t xml:space="preserve">conocer la información expresada en el mismo lenguaje de los sujetos. Tanto sus ideas como sus percepciones se convertirán en el resultado mismo de la investigación </w:t>
      </w:r>
      <w:r w:rsidR="00A23F88">
        <w:rPr>
          <w:rFonts w:ascii="Arial" w:hAnsi="Arial" w:cs="Arial"/>
          <w:color w:val="2E74B5" w:themeColor="accent1" w:themeShade="BF"/>
          <w:sz w:val="24"/>
          <w:szCs w:val="24"/>
        </w:rPr>
        <w:fldChar w:fldCharType="begin" w:fldLock="1"/>
      </w:r>
      <w:r w:rsidR="00B66EDB">
        <w:rPr>
          <w:rFonts w:ascii="Arial" w:hAnsi="Arial" w:cs="Arial"/>
          <w:color w:val="2E74B5" w:themeColor="accent1" w:themeShade="BF"/>
          <w:sz w:val="24"/>
          <w:szCs w:val="24"/>
        </w:rPr>
        <w:instrText>ADDIN CSL_CITATION { "citationItems" : [ { "id" : "ITEM-1", "itemData" : { "DOI" : "10.5455/msm.2014.26.405-410", "ISSN" : "2422-0736", "abstract" : "Se pueda afirmar que la investigaci\u00f3n forma parte del conocimiento humano en general y por tanto el conocimiento se ha definido como un proceso en el cual se relacionan un sujeto cognoscente (quien conoce) con un objeto de conocimiento (aquello que se conoce) lo que da como resultado un producto mental nuevo, llamado conocimiento. As\u00ed, el mismo t\u00e9rmino designa al proceso y al resultado de dicho proceso; es decir, llamamos conocimiento tanto a la operaci\u00f3n subjetiva que lo produce, como al mismo producto. Ante el seguir conociendo y de acercarnos a verdades necesarias para vivir y convivir, se necesita de un m\u00e9todo, de un camino sistem\u00e1tico que nos permita aprehender la realidad , como dir\u00eda Xavier Zubiri. Pero este m\u00e9todo tiene que tener en cuenta la subjetividad y din\u00e1mica de los sujetos que conocen y la objetividad de lo ya conocido por la cultura y las ciencias.", "author" : [ { "dropping-particle" : "", "family" : "Mart\u00ednez Rodr\u00edguez", "given" : "Jorge", "non-dropping-particle" : "", "parse-names" : false, "suffix" : "" } ], "container-title" : "Revista de Investigaci\u00f3n Silogismo", "id" : "ITEM-1", "issue" : "08", "issued" : { "date-parts" : [ [ "2011" ] ] }, "page" : "2-43", "title" : "M\u00e9todos de Investigaci\u00f3n Cualitativa", "type" : "article-journal", "volume" : "1" }, "uris" : [ "http://www.mendeley.com/documents/?uuid=b5120b64-83a3-45c7-9db1-8f79e0586d4c", "http://www.mendeley.com/documents/?uuid=40b52015-454f-490c-adb9-ea135840a878" ] } ], "mendeley" : { "formattedCitation" : "(Mart\u00ednez Rodr\u00edguez, 2011)", "plainTextFormattedCitation" : "(Mart\u00ednez Rodr\u00edguez, 2011)", "previouslyFormattedCitation" : "(Mart\u00ednez Rodr\u00edguez, 2011)" }, "properties" : { "noteIndex" : 0 }, "schema" : "https://github.com/citation-style-language/schema/raw/master/csl-citation.json" }</w:instrText>
      </w:r>
      <w:r w:rsidR="00A23F88">
        <w:rPr>
          <w:rFonts w:ascii="Arial" w:hAnsi="Arial" w:cs="Arial"/>
          <w:color w:val="2E74B5" w:themeColor="accent1" w:themeShade="BF"/>
          <w:sz w:val="24"/>
          <w:szCs w:val="24"/>
        </w:rPr>
        <w:fldChar w:fldCharType="separate"/>
      </w:r>
      <w:r w:rsidR="00A23F88" w:rsidRPr="00A23F88">
        <w:rPr>
          <w:rFonts w:ascii="Arial" w:hAnsi="Arial" w:cs="Arial"/>
          <w:noProof/>
          <w:color w:val="2E74B5" w:themeColor="accent1" w:themeShade="BF"/>
          <w:sz w:val="24"/>
          <w:szCs w:val="24"/>
        </w:rPr>
        <w:t>(Martínez Rodríguez, 2011)</w:t>
      </w:r>
      <w:r w:rsidR="00A23F88">
        <w:rPr>
          <w:rFonts w:ascii="Arial" w:hAnsi="Arial" w:cs="Arial"/>
          <w:color w:val="2E74B5" w:themeColor="accent1" w:themeShade="BF"/>
          <w:sz w:val="24"/>
          <w:szCs w:val="24"/>
        </w:rPr>
        <w:fldChar w:fldCharType="end"/>
      </w:r>
      <w:r w:rsidR="001261A4">
        <w:rPr>
          <w:rFonts w:ascii="Arial" w:hAnsi="Arial" w:cs="Arial"/>
          <w:color w:val="2E74B5" w:themeColor="accent1" w:themeShade="BF"/>
          <w:sz w:val="24"/>
          <w:szCs w:val="24"/>
        </w:rPr>
        <w:t xml:space="preserve"> y es a partir de allí que </w:t>
      </w:r>
      <w:r w:rsidR="00DB55C7">
        <w:rPr>
          <w:rFonts w:ascii="Arial" w:hAnsi="Arial" w:cs="Arial"/>
          <w:color w:val="2E74B5" w:themeColor="accent1" w:themeShade="BF"/>
          <w:sz w:val="24"/>
          <w:szCs w:val="24"/>
        </w:rPr>
        <w:t xml:space="preserve">se busca </w:t>
      </w:r>
      <w:r w:rsidR="001261A4">
        <w:rPr>
          <w:rFonts w:ascii="Arial" w:hAnsi="Arial" w:cs="Arial"/>
          <w:color w:val="2E74B5" w:themeColor="accent1" w:themeShade="BF"/>
          <w:sz w:val="24"/>
          <w:szCs w:val="24"/>
        </w:rPr>
        <w:t xml:space="preserve">identificar, reforzar o construir un valor percibido para los servicios de </w:t>
      </w:r>
      <w:r w:rsidR="001261A4">
        <w:rPr>
          <w:rFonts w:ascii="Arial" w:hAnsi="Arial" w:cs="Arial"/>
          <w:color w:val="2E74B5" w:themeColor="accent1" w:themeShade="BF"/>
          <w:sz w:val="24"/>
          <w:szCs w:val="24"/>
        </w:rPr>
        <w:lastRenderedPageBreak/>
        <w:t>seguridad privada en Colombia</w:t>
      </w:r>
      <w:r w:rsidR="00A23F88">
        <w:rPr>
          <w:rFonts w:ascii="Arial" w:hAnsi="Arial" w:cs="Arial"/>
          <w:color w:val="2E74B5" w:themeColor="accent1" w:themeShade="BF"/>
          <w:sz w:val="24"/>
          <w:szCs w:val="24"/>
        </w:rPr>
        <w:t xml:space="preserve">. </w:t>
      </w:r>
      <w:r w:rsidR="00717A71">
        <w:rPr>
          <w:rFonts w:ascii="Arial" w:hAnsi="Arial" w:cs="Arial"/>
          <w:color w:val="2E74B5" w:themeColor="accent1" w:themeShade="BF"/>
          <w:sz w:val="24"/>
          <w:szCs w:val="24"/>
        </w:rPr>
        <w:t xml:space="preserve">Con un diseño </w:t>
      </w:r>
      <w:r w:rsidR="00721DD0">
        <w:rPr>
          <w:rFonts w:ascii="Arial" w:hAnsi="Arial" w:cs="Arial"/>
          <w:color w:val="2E74B5" w:themeColor="accent1" w:themeShade="BF"/>
          <w:sz w:val="24"/>
          <w:szCs w:val="24"/>
        </w:rPr>
        <w:t>explorato</w:t>
      </w:r>
      <w:r w:rsidR="00717A71">
        <w:rPr>
          <w:rFonts w:ascii="Arial" w:hAnsi="Arial" w:cs="Arial"/>
          <w:color w:val="2E74B5" w:themeColor="accent1" w:themeShade="BF"/>
          <w:sz w:val="24"/>
          <w:szCs w:val="24"/>
        </w:rPr>
        <w:t>rio,</w:t>
      </w:r>
      <w:r w:rsidR="004D339E">
        <w:rPr>
          <w:rFonts w:ascii="Arial" w:hAnsi="Arial" w:cs="Arial"/>
          <w:color w:val="2E74B5" w:themeColor="accent1" w:themeShade="BF"/>
          <w:sz w:val="24"/>
          <w:szCs w:val="24"/>
        </w:rPr>
        <w:t xml:space="preserve"> </w:t>
      </w:r>
      <w:r w:rsidR="00717A71">
        <w:rPr>
          <w:rFonts w:ascii="Arial" w:hAnsi="Arial" w:cs="Arial"/>
          <w:color w:val="2E74B5" w:themeColor="accent1" w:themeShade="BF"/>
          <w:sz w:val="24"/>
          <w:szCs w:val="24"/>
        </w:rPr>
        <w:t xml:space="preserve">debido a la escasez de estudios previos acerca del tema, </w:t>
      </w:r>
      <w:r w:rsidR="00CE1C36">
        <w:rPr>
          <w:rFonts w:ascii="Arial" w:hAnsi="Arial" w:cs="Arial"/>
          <w:color w:val="2E74B5" w:themeColor="accent1" w:themeShade="BF"/>
          <w:sz w:val="24"/>
          <w:szCs w:val="24"/>
        </w:rPr>
        <w:t xml:space="preserve">y a través del </w:t>
      </w:r>
      <w:r w:rsidR="00C145CF">
        <w:rPr>
          <w:rFonts w:ascii="Arial" w:hAnsi="Arial" w:cs="Arial"/>
          <w:color w:val="2E74B5" w:themeColor="accent1" w:themeShade="BF"/>
          <w:sz w:val="24"/>
          <w:szCs w:val="24"/>
        </w:rPr>
        <w:t>método fenomenológico</w:t>
      </w:r>
      <w:r w:rsidR="00721DD0">
        <w:rPr>
          <w:rFonts w:ascii="Arial" w:hAnsi="Arial" w:cs="Arial"/>
          <w:color w:val="2E74B5" w:themeColor="accent1" w:themeShade="BF"/>
          <w:sz w:val="24"/>
          <w:szCs w:val="24"/>
        </w:rPr>
        <w:t xml:space="preserve"> </w:t>
      </w:r>
      <w:r w:rsidR="00DB55C7">
        <w:rPr>
          <w:rFonts w:ascii="Arial" w:hAnsi="Arial" w:cs="Arial"/>
          <w:color w:val="2E74B5" w:themeColor="accent1" w:themeShade="BF"/>
          <w:sz w:val="24"/>
          <w:szCs w:val="24"/>
        </w:rPr>
        <w:t xml:space="preserve">se quiere </w:t>
      </w:r>
      <w:r w:rsidR="00721DD0">
        <w:rPr>
          <w:rFonts w:ascii="Arial" w:hAnsi="Arial" w:cs="Arial"/>
          <w:color w:val="2E74B5" w:themeColor="accent1" w:themeShade="BF"/>
          <w:sz w:val="24"/>
          <w:szCs w:val="24"/>
        </w:rPr>
        <w:t xml:space="preserve">examinar la realidad </w:t>
      </w:r>
      <w:r w:rsidR="006D2D97">
        <w:rPr>
          <w:rFonts w:ascii="Arial" w:hAnsi="Arial" w:cs="Arial"/>
          <w:color w:val="2E74B5" w:themeColor="accent1" w:themeShade="BF"/>
          <w:sz w:val="24"/>
          <w:szCs w:val="24"/>
        </w:rPr>
        <w:t>vivida e interpretada por los clientes de estos servicios</w:t>
      </w:r>
      <w:r w:rsidR="00CE1C36">
        <w:rPr>
          <w:rFonts w:ascii="Arial" w:hAnsi="Arial" w:cs="Arial"/>
          <w:color w:val="2E74B5" w:themeColor="accent1" w:themeShade="BF"/>
          <w:sz w:val="24"/>
          <w:szCs w:val="24"/>
        </w:rPr>
        <w:t>.</w:t>
      </w:r>
    </w:p>
    <w:p w14:paraId="5788A1B3" w14:textId="4274ADAA" w:rsidR="00DB55C7" w:rsidRDefault="00DB55C7"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La recolección de datos se realizará a través métodos no estandarizados y tendrá en cuenta a partir de ellos, puntos de vista, experiencias, relación con el servicio y otros aspectos subjetivos que puedan surgir durante la investigación con el grupo de estudio.</w:t>
      </w:r>
    </w:p>
    <w:p w14:paraId="642E5F77" w14:textId="6BC97C03" w:rsidR="00A8601F" w:rsidRDefault="00CE1C36"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Para el</w:t>
      </w:r>
      <w:r w:rsidR="00633D94">
        <w:rPr>
          <w:rFonts w:ascii="Arial" w:hAnsi="Arial" w:cs="Arial"/>
          <w:color w:val="2E74B5" w:themeColor="accent1" w:themeShade="BF"/>
          <w:sz w:val="24"/>
          <w:szCs w:val="24"/>
        </w:rPr>
        <w:t xml:space="preserve">lo es primordial se revisen </w:t>
      </w:r>
      <w:r w:rsidR="00A8601F">
        <w:rPr>
          <w:rFonts w:ascii="Arial" w:hAnsi="Arial" w:cs="Arial"/>
          <w:color w:val="2E74B5" w:themeColor="accent1" w:themeShade="BF"/>
          <w:sz w:val="24"/>
          <w:szCs w:val="24"/>
        </w:rPr>
        <w:t>las opiniones d</w:t>
      </w:r>
      <w:r w:rsidR="00633D94">
        <w:rPr>
          <w:rFonts w:ascii="Arial" w:hAnsi="Arial" w:cs="Arial"/>
          <w:color w:val="2E74B5" w:themeColor="accent1" w:themeShade="BF"/>
          <w:sz w:val="24"/>
          <w:szCs w:val="24"/>
        </w:rPr>
        <w:t xml:space="preserve">el </w:t>
      </w:r>
      <w:r>
        <w:rPr>
          <w:rFonts w:ascii="Arial" w:hAnsi="Arial" w:cs="Arial"/>
          <w:color w:val="2E74B5" w:themeColor="accent1" w:themeShade="BF"/>
          <w:sz w:val="24"/>
          <w:szCs w:val="24"/>
        </w:rPr>
        <w:t xml:space="preserve">cliente </w:t>
      </w:r>
      <w:r w:rsidR="00633D94">
        <w:rPr>
          <w:rFonts w:ascii="Arial" w:hAnsi="Arial" w:cs="Arial"/>
          <w:color w:val="2E74B5" w:themeColor="accent1" w:themeShade="BF"/>
          <w:sz w:val="24"/>
          <w:szCs w:val="24"/>
        </w:rPr>
        <w:t xml:space="preserve">con una visión holística </w:t>
      </w:r>
      <w:r w:rsidR="00A8601F">
        <w:rPr>
          <w:rFonts w:ascii="Arial" w:hAnsi="Arial" w:cs="Arial"/>
          <w:color w:val="2E74B5" w:themeColor="accent1" w:themeShade="BF"/>
          <w:sz w:val="24"/>
          <w:szCs w:val="24"/>
        </w:rPr>
        <w:fldChar w:fldCharType="begin" w:fldLock="1"/>
      </w:r>
      <w:r w:rsidR="00B66EDB">
        <w:rPr>
          <w:rFonts w:ascii="Arial" w:hAnsi="Arial" w:cs="Arial"/>
          <w:color w:val="2E74B5" w:themeColor="accent1" w:themeShade="BF"/>
          <w:sz w:val="24"/>
          <w:szCs w:val="24"/>
        </w:rPr>
        <w:instrText>ADDIN CSL_CITATION { "citationItems" : [ { "id" : "ITEM-1", "itemData" : { "author" : [ { "dropping-particle" : "", "family" : "Navarrete", "given" : "Julio Mej\u00eda", "non-dropping-particle" : "", "parse-names" : false, "suffix" : "" } ], "id" : "ITEM-1", "issued" : { "date-parts" : [ [ "2004" ] ] }, "page" : "277-299", "title" : "Nuevos conceptos y campos de desarrollo", "type" : "article-journal" }, "locator" : "11", "uris" : [ "http://www.mendeley.com/documents/?uuid=ff668111-b6d6-4626-999c-b7d08ec4e860", "http://www.mendeley.com/documents/?uuid=cc8d2ff2-526c-4e11-bb4c-2398d46906ad" ] } ], "mendeley" : { "formattedCitation" : "(Navarrete, 2004, p. 11)", "plainTextFormattedCitation" : "(Navarrete, 2004, p. 11)", "previouslyFormattedCitation" : "(Navarrete, 2004, p. 11)" }, "properties" : { "noteIndex" : 0 }, "schema" : "https://github.com/citation-style-language/schema/raw/master/csl-citation.json" }</w:instrText>
      </w:r>
      <w:r w:rsidR="00A8601F">
        <w:rPr>
          <w:rFonts w:ascii="Arial" w:hAnsi="Arial" w:cs="Arial"/>
          <w:color w:val="2E74B5" w:themeColor="accent1" w:themeShade="BF"/>
          <w:sz w:val="24"/>
          <w:szCs w:val="24"/>
        </w:rPr>
        <w:fldChar w:fldCharType="separate"/>
      </w:r>
      <w:r w:rsidR="007F49A7" w:rsidRPr="007F49A7">
        <w:rPr>
          <w:rFonts w:ascii="Arial" w:hAnsi="Arial" w:cs="Arial"/>
          <w:noProof/>
          <w:color w:val="2E74B5" w:themeColor="accent1" w:themeShade="BF"/>
          <w:sz w:val="24"/>
          <w:szCs w:val="24"/>
        </w:rPr>
        <w:t>(Navarrete, 2004, p. 11)</w:t>
      </w:r>
      <w:r w:rsidR="00A8601F">
        <w:rPr>
          <w:rFonts w:ascii="Arial" w:hAnsi="Arial" w:cs="Arial"/>
          <w:color w:val="2E74B5" w:themeColor="accent1" w:themeShade="BF"/>
          <w:sz w:val="24"/>
          <w:szCs w:val="24"/>
        </w:rPr>
        <w:fldChar w:fldCharType="end"/>
      </w:r>
      <w:r w:rsidR="00A8601F">
        <w:rPr>
          <w:rFonts w:ascii="Arial" w:hAnsi="Arial" w:cs="Arial"/>
          <w:color w:val="2E74B5" w:themeColor="accent1" w:themeShade="BF"/>
          <w:sz w:val="24"/>
          <w:szCs w:val="24"/>
        </w:rPr>
        <w:t xml:space="preserve"> </w:t>
      </w:r>
      <w:r w:rsidR="00633D94">
        <w:rPr>
          <w:rFonts w:ascii="Arial" w:hAnsi="Arial" w:cs="Arial"/>
          <w:color w:val="2E74B5" w:themeColor="accent1" w:themeShade="BF"/>
          <w:sz w:val="24"/>
          <w:szCs w:val="24"/>
        </w:rPr>
        <w:t xml:space="preserve">a fin de </w:t>
      </w:r>
      <w:r w:rsidR="00C36D3E">
        <w:rPr>
          <w:rFonts w:ascii="Arial" w:hAnsi="Arial" w:cs="Arial"/>
          <w:color w:val="2E74B5" w:themeColor="accent1" w:themeShade="BF"/>
          <w:sz w:val="24"/>
          <w:szCs w:val="24"/>
        </w:rPr>
        <w:t>comprender</w:t>
      </w:r>
      <w:r w:rsidR="00633D94">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sus puntos de vista </w:t>
      </w:r>
      <w:r w:rsidR="00C36D3E">
        <w:rPr>
          <w:rFonts w:ascii="Arial" w:hAnsi="Arial" w:cs="Arial"/>
          <w:color w:val="2E74B5" w:themeColor="accent1" w:themeShade="BF"/>
          <w:sz w:val="24"/>
          <w:szCs w:val="24"/>
        </w:rPr>
        <w:t>y percepciones</w:t>
      </w:r>
      <w:r w:rsidR="00A8601F">
        <w:rPr>
          <w:rFonts w:ascii="Arial" w:hAnsi="Arial" w:cs="Arial"/>
          <w:color w:val="2E74B5" w:themeColor="accent1" w:themeShade="BF"/>
          <w:sz w:val="24"/>
          <w:szCs w:val="24"/>
        </w:rPr>
        <w:t xml:space="preserve"> </w:t>
      </w:r>
      <w:r w:rsidR="00C36D3E">
        <w:rPr>
          <w:rFonts w:ascii="Arial" w:hAnsi="Arial" w:cs="Arial"/>
          <w:color w:val="2E74B5" w:themeColor="accent1" w:themeShade="BF"/>
          <w:sz w:val="24"/>
          <w:szCs w:val="24"/>
        </w:rPr>
        <w:t xml:space="preserve">sin </w:t>
      </w:r>
      <w:r w:rsidR="00F823F4">
        <w:rPr>
          <w:rFonts w:ascii="Arial" w:hAnsi="Arial" w:cs="Arial"/>
          <w:color w:val="2E74B5" w:themeColor="accent1" w:themeShade="BF"/>
          <w:sz w:val="24"/>
          <w:szCs w:val="24"/>
        </w:rPr>
        <w:t>eludir e</w:t>
      </w:r>
      <w:r w:rsidR="00C36D3E">
        <w:rPr>
          <w:rFonts w:ascii="Arial" w:hAnsi="Arial" w:cs="Arial"/>
          <w:color w:val="2E74B5" w:themeColor="accent1" w:themeShade="BF"/>
          <w:sz w:val="24"/>
          <w:szCs w:val="24"/>
        </w:rPr>
        <w:t xml:space="preserve">l </w:t>
      </w:r>
      <w:r w:rsidR="00870450">
        <w:rPr>
          <w:rFonts w:ascii="Arial" w:hAnsi="Arial" w:cs="Arial"/>
          <w:color w:val="2E74B5" w:themeColor="accent1" w:themeShade="BF"/>
          <w:sz w:val="24"/>
          <w:szCs w:val="24"/>
        </w:rPr>
        <w:t xml:space="preserve">significado que </w:t>
      </w:r>
      <w:r w:rsidR="00633D94">
        <w:rPr>
          <w:rFonts w:ascii="Arial" w:hAnsi="Arial" w:cs="Arial"/>
          <w:color w:val="2E74B5" w:themeColor="accent1" w:themeShade="BF"/>
          <w:sz w:val="24"/>
          <w:szCs w:val="24"/>
        </w:rPr>
        <w:t>él mismo da</w:t>
      </w:r>
      <w:r w:rsidR="00A8601F">
        <w:rPr>
          <w:rFonts w:ascii="Arial" w:hAnsi="Arial" w:cs="Arial"/>
          <w:color w:val="2E74B5" w:themeColor="accent1" w:themeShade="BF"/>
          <w:sz w:val="24"/>
          <w:szCs w:val="24"/>
        </w:rPr>
        <w:t>,</w:t>
      </w:r>
      <w:r w:rsidR="00633D94">
        <w:rPr>
          <w:rFonts w:ascii="Arial" w:hAnsi="Arial" w:cs="Arial"/>
          <w:color w:val="2E74B5" w:themeColor="accent1" w:themeShade="BF"/>
          <w:sz w:val="24"/>
          <w:szCs w:val="24"/>
        </w:rPr>
        <w:t xml:space="preserve"> de acuerdo </w:t>
      </w:r>
      <w:r w:rsidR="00C36D3E">
        <w:rPr>
          <w:rFonts w:ascii="Arial" w:hAnsi="Arial" w:cs="Arial"/>
          <w:color w:val="2E74B5" w:themeColor="accent1" w:themeShade="BF"/>
          <w:sz w:val="24"/>
          <w:szCs w:val="24"/>
        </w:rPr>
        <w:t xml:space="preserve">a su experiencia directa o indirecta </w:t>
      </w:r>
      <w:r w:rsidR="00870450">
        <w:rPr>
          <w:rFonts w:ascii="Arial" w:hAnsi="Arial" w:cs="Arial"/>
          <w:color w:val="2E74B5" w:themeColor="accent1" w:themeShade="BF"/>
          <w:sz w:val="24"/>
          <w:szCs w:val="24"/>
        </w:rPr>
        <w:t>con el servicio</w:t>
      </w:r>
      <w:r w:rsidR="00A8601F">
        <w:rPr>
          <w:rFonts w:ascii="Arial" w:hAnsi="Arial" w:cs="Arial"/>
          <w:color w:val="2E74B5" w:themeColor="accent1" w:themeShade="BF"/>
          <w:sz w:val="24"/>
          <w:szCs w:val="24"/>
        </w:rPr>
        <w:t xml:space="preserve"> </w:t>
      </w:r>
      <w:r w:rsidR="00C36D3E">
        <w:rPr>
          <w:rFonts w:ascii="Arial" w:hAnsi="Arial" w:cs="Arial"/>
          <w:color w:val="2E74B5" w:themeColor="accent1" w:themeShade="BF"/>
          <w:sz w:val="24"/>
          <w:szCs w:val="24"/>
        </w:rPr>
        <w:t>–habilidades, prácticas y experiencias cotidianas con el</w:t>
      </w:r>
      <w:r w:rsidR="00A8601F">
        <w:rPr>
          <w:rFonts w:ascii="Arial" w:hAnsi="Arial" w:cs="Arial"/>
          <w:color w:val="2E74B5" w:themeColor="accent1" w:themeShade="BF"/>
          <w:sz w:val="24"/>
          <w:szCs w:val="24"/>
        </w:rPr>
        <w:t xml:space="preserve"> tipo de servicio de seguridad específico-</w:t>
      </w:r>
      <w:r w:rsidR="00C36D3E">
        <w:rPr>
          <w:rFonts w:ascii="Arial" w:hAnsi="Arial" w:cs="Arial"/>
          <w:color w:val="2E74B5" w:themeColor="accent1" w:themeShade="BF"/>
          <w:sz w:val="24"/>
          <w:szCs w:val="24"/>
        </w:rPr>
        <w:t xml:space="preserve"> </w:t>
      </w:r>
      <w:r w:rsidR="00C36D3E">
        <w:rPr>
          <w:rFonts w:ascii="Arial" w:hAnsi="Arial" w:cs="Arial"/>
          <w:color w:val="2E74B5" w:themeColor="accent1" w:themeShade="BF"/>
          <w:sz w:val="24"/>
          <w:szCs w:val="24"/>
        </w:rPr>
        <w:fldChar w:fldCharType="begin" w:fldLock="1"/>
      </w:r>
      <w:r w:rsidR="00B07C74">
        <w:rPr>
          <w:rFonts w:ascii="Arial" w:hAnsi="Arial" w:cs="Arial"/>
          <w:color w:val="2E74B5" w:themeColor="accent1" w:themeShade="BF"/>
          <w:sz w:val="24"/>
          <w:szCs w:val="24"/>
        </w:rPr>
        <w:instrText>ADDIN CSL_CITATION { "citationItems" : [ { "id" : "ITEM-1", "itemData" : { "author" : [ { "dropping-particle" : "", "family" : "Edelmira", "given" : "Castillo", "non-dropping-particle" : "", "parse-names" : false, "suffix" : "" } ], "id" : "ITEM-1", "issued" : { "date-parts" : [ [ "0" ] ] }, "title" : "La fenomenologi\u0301a interpretativa como alternativa apropiada para estudiar los feno\u0301menos humanos.pdf", "type" : "article" }, "locator" : "32", "uris" : [ "http://www.mendeley.com/documents/?uuid=72607e16-bc2c-4fa9-8ac6-d2eb1599b909", "http://www.mendeley.com/documents/?uuid=16073b6e-74cf-4c04-9bdc-884f328ee4df" ] } ], "mendeley" : { "formattedCitation" : "(Edelmira, n.d., p. 32)", "plainTextFormattedCitation" : "(Edelmira, n.d., p. 32)", "previouslyFormattedCitation" : "(Edelmira, n.d., p. 32)" }, "properties" : { "noteIndex" : 0 }, "schema" : "https://github.com/citation-style-language/schema/raw/master/csl-citation.json" }</w:instrText>
      </w:r>
      <w:r w:rsidR="00C36D3E">
        <w:rPr>
          <w:rFonts w:ascii="Arial" w:hAnsi="Arial" w:cs="Arial"/>
          <w:color w:val="2E74B5" w:themeColor="accent1" w:themeShade="BF"/>
          <w:sz w:val="24"/>
          <w:szCs w:val="24"/>
        </w:rPr>
        <w:fldChar w:fldCharType="separate"/>
      </w:r>
      <w:r w:rsidR="00431BA7" w:rsidRPr="00431BA7">
        <w:rPr>
          <w:rFonts w:ascii="Arial" w:hAnsi="Arial" w:cs="Arial"/>
          <w:noProof/>
          <w:color w:val="2E74B5" w:themeColor="accent1" w:themeShade="BF"/>
          <w:sz w:val="24"/>
          <w:szCs w:val="24"/>
        </w:rPr>
        <w:t>(Edelmira, n.d., p. 32)</w:t>
      </w:r>
      <w:r w:rsidR="00C36D3E">
        <w:rPr>
          <w:rFonts w:ascii="Arial" w:hAnsi="Arial" w:cs="Arial"/>
          <w:color w:val="2E74B5" w:themeColor="accent1" w:themeShade="BF"/>
          <w:sz w:val="24"/>
          <w:szCs w:val="24"/>
        </w:rPr>
        <w:fldChar w:fldCharType="end"/>
      </w:r>
    </w:p>
    <w:p w14:paraId="6211348A" w14:textId="45E606AE" w:rsidR="00271218" w:rsidRDefault="007407B3"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El </w:t>
      </w:r>
      <w:r w:rsidR="00E36479">
        <w:rPr>
          <w:rFonts w:ascii="Arial" w:hAnsi="Arial" w:cs="Arial"/>
          <w:color w:val="2E74B5" w:themeColor="accent1" w:themeShade="BF"/>
          <w:sz w:val="24"/>
          <w:szCs w:val="24"/>
        </w:rPr>
        <w:t>diseño muestral</w:t>
      </w:r>
      <w:r>
        <w:rPr>
          <w:rFonts w:ascii="Arial" w:hAnsi="Arial" w:cs="Arial"/>
          <w:color w:val="2E74B5" w:themeColor="accent1" w:themeShade="BF"/>
          <w:sz w:val="24"/>
          <w:szCs w:val="24"/>
        </w:rPr>
        <w:t xml:space="preserve"> para llevar a cabo es</w:t>
      </w:r>
      <w:r w:rsidR="007F49A7">
        <w:rPr>
          <w:rFonts w:ascii="Arial" w:hAnsi="Arial" w:cs="Arial"/>
          <w:color w:val="2E74B5" w:themeColor="accent1" w:themeShade="BF"/>
          <w:sz w:val="24"/>
          <w:szCs w:val="24"/>
        </w:rPr>
        <w:t>ta investigación es no probabili</w:t>
      </w:r>
      <w:r>
        <w:rPr>
          <w:rFonts w:ascii="Arial" w:hAnsi="Arial" w:cs="Arial"/>
          <w:color w:val="2E74B5" w:themeColor="accent1" w:themeShade="BF"/>
          <w:sz w:val="24"/>
          <w:szCs w:val="24"/>
        </w:rPr>
        <w:t xml:space="preserve">stico por conveniencia </w:t>
      </w:r>
      <w:r w:rsidR="00CE1C36">
        <w:rPr>
          <w:rFonts w:ascii="Arial" w:hAnsi="Arial" w:cs="Arial"/>
          <w:color w:val="2E74B5" w:themeColor="accent1" w:themeShade="BF"/>
          <w:sz w:val="24"/>
          <w:szCs w:val="24"/>
        </w:rPr>
        <w:t xml:space="preserve">debido a </w:t>
      </w:r>
      <w:r>
        <w:rPr>
          <w:rFonts w:ascii="Arial" w:hAnsi="Arial" w:cs="Arial"/>
          <w:color w:val="2E74B5" w:themeColor="accent1" w:themeShade="BF"/>
          <w:sz w:val="24"/>
          <w:szCs w:val="24"/>
        </w:rPr>
        <w:t xml:space="preserve">que </w:t>
      </w:r>
      <w:r w:rsidR="00F13C79">
        <w:rPr>
          <w:rFonts w:ascii="Arial" w:hAnsi="Arial" w:cs="Arial"/>
          <w:color w:val="2E74B5" w:themeColor="accent1" w:themeShade="BF"/>
          <w:sz w:val="24"/>
          <w:szCs w:val="24"/>
        </w:rPr>
        <w:t xml:space="preserve">existe alta posibilidad </w:t>
      </w:r>
      <w:r>
        <w:rPr>
          <w:rFonts w:ascii="Arial" w:hAnsi="Arial" w:cs="Arial"/>
          <w:color w:val="2E74B5" w:themeColor="accent1" w:themeShade="BF"/>
          <w:sz w:val="24"/>
          <w:szCs w:val="24"/>
        </w:rPr>
        <w:t xml:space="preserve">de acceso a </w:t>
      </w:r>
      <w:r w:rsidR="0031531D">
        <w:rPr>
          <w:rFonts w:ascii="Arial" w:hAnsi="Arial" w:cs="Arial"/>
          <w:color w:val="2E74B5" w:themeColor="accent1" w:themeShade="BF"/>
          <w:sz w:val="24"/>
          <w:szCs w:val="24"/>
        </w:rPr>
        <w:t>clientes actuales</w:t>
      </w:r>
      <w:r>
        <w:rPr>
          <w:rFonts w:ascii="Arial" w:hAnsi="Arial" w:cs="Arial"/>
          <w:color w:val="2E74B5" w:themeColor="accent1" w:themeShade="BF"/>
          <w:sz w:val="24"/>
          <w:szCs w:val="24"/>
        </w:rPr>
        <w:t xml:space="preserve"> del servicio</w:t>
      </w:r>
      <w:r w:rsidR="00F13C79">
        <w:rPr>
          <w:rFonts w:ascii="Arial" w:hAnsi="Arial" w:cs="Arial"/>
          <w:color w:val="2E74B5" w:themeColor="accent1" w:themeShade="BF"/>
          <w:sz w:val="24"/>
          <w:szCs w:val="24"/>
        </w:rPr>
        <w:t xml:space="preserve">. Sin embargo, dependemos de su disponibilidad de tiempo y no es posible determinar el tamaño </w:t>
      </w:r>
      <w:r w:rsidR="00CE1C36">
        <w:rPr>
          <w:rFonts w:ascii="Arial" w:hAnsi="Arial" w:cs="Arial"/>
          <w:color w:val="2E74B5" w:themeColor="accent1" w:themeShade="BF"/>
          <w:sz w:val="24"/>
          <w:szCs w:val="24"/>
        </w:rPr>
        <w:t xml:space="preserve">completo </w:t>
      </w:r>
      <w:r w:rsidR="00F13C79">
        <w:rPr>
          <w:rFonts w:ascii="Arial" w:hAnsi="Arial" w:cs="Arial"/>
          <w:color w:val="2E74B5" w:themeColor="accent1" w:themeShade="BF"/>
          <w:sz w:val="24"/>
          <w:szCs w:val="24"/>
        </w:rPr>
        <w:t>de</w:t>
      </w:r>
      <w:r w:rsidR="00CE1C36">
        <w:rPr>
          <w:rFonts w:ascii="Arial" w:hAnsi="Arial" w:cs="Arial"/>
          <w:color w:val="2E74B5" w:themeColor="accent1" w:themeShade="BF"/>
          <w:sz w:val="24"/>
          <w:szCs w:val="24"/>
        </w:rPr>
        <w:t xml:space="preserve">l </w:t>
      </w:r>
      <w:r w:rsidR="00E36479">
        <w:rPr>
          <w:rFonts w:ascii="Arial" w:hAnsi="Arial" w:cs="Arial"/>
          <w:color w:val="2E74B5" w:themeColor="accent1" w:themeShade="BF"/>
          <w:sz w:val="24"/>
          <w:szCs w:val="24"/>
        </w:rPr>
        <w:t>marco muestral</w:t>
      </w:r>
      <w:r w:rsidR="00C36D3E">
        <w:rPr>
          <w:rFonts w:ascii="Arial" w:hAnsi="Arial" w:cs="Arial"/>
          <w:color w:val="2E74B5" w:themeColor="accent1" w:themeShade="BF"/>
          <w:sz w:val="24"/>
          <w:szCs w:val="24"/>
        </w:rPr>
        <w:t>.</w:t>
      </w:r>
      <w:r w:rsidR="00870450">
        <w:rPr>
          <w:rFonts w:ascii="Arial" w:hAnsi="Arial" w:cs="Arial"/>
          <w:color w:val="2E74B5" w:themeColor="accent1" w:themeShade="BF"/>
          <w:sz w:val="24"/>
          <w:szCs w:val="24"/>
        </w:rPr>
        <w:t xml:space="preserve"> </w:t>
      </w:r>
      <w:r w:rsidR="0005162E" w:rsidRPr="0005162E">
        <w:rPr>
          <w:rFonts w:ascii="Arial" w:hAnsi="Arial" w:cs="Arial"/>
          <w:color w:val="2E74B5" w:themeColor="accent1" w:themeShade="BF"/>
          <w:sz w:val="24"/>
          <w:szCs w:val="24"/>
        </w:rPr>
        <w:t>De otra parte, se tendrá un muestreo basado en tiempos y momentos debido a que la experiencia de servicio puede variar de una situación a otra</w:t>
      </w:r>
      <w:r w:rsidR="0005162E">
        <w:rPr>
          <w:rFonts w:ascii="Arial" w:hAnsi="Arial" w:cs="Arial"/>
          <w:color w:val="2E74B5" w:themeColor="accent1" w:themeShade="BF"/>
          <w:sz w:val="24"/>
          <w:szCs w:val="24"/>
        </w:rPr>
        <w:t>.</w:t>
      </w:r>
    </w:p>
    <w:p w14:paraId="491989F1" w14:textId="77777777" w:rsidR="00120236" w:rsidRDefault="0031531D"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La población objeto de esta investigación abarca desde personas naturales hasta grandes compañías nacionales o multinacionales y, personalidades nacionales y extranjeras. Lo anterior se debe a que el portafolio que ofrecen las empresas vigiladas </w:t>
      </w:r>
      <w:r w:rsidR="00D24E5A">
        <w:rPr>
          <w:rFonts w:ascii="Arial" w:hAnsi="Arial" w:cs="Arial"/>
          <w:color w:val="2E74B5" w:themeColor="accent1" w:themeShade="BF"/>
          <w:sz w:val="24"/>
          <w:szCs w:val="24"/>
        </w:rPr>
        <w:t>por la SVSP, van desde el monitoreo de casas, oficinas o vehículos con GPS, pasando por estudios de confiabilidad y consultorías, hasta la vigilancia física y/o escoltas y la recolección de efectivo en locales comerciales</w:t>
      </w:r>
      <w:r w:rsidR="00120236">
        <w:rPr>
          <w:rFonts w:ascii="Arial" w:hAnsi="Arial" w:cs="Arial"/>
          <w:color w:val="2E74B5" w:themeColor="accent1" w:themeShade="BF"/>
          <w:sz w:val="24"/>
          <w:szCs w:val="24"/>
        </w:rPr>
        <w:t>, entidades financieras y cajeros automáticos</w:t>
      </w:r>
      <w:r w:rsidR="00D24E5A">
        <w:rPr>
          <w:rFonts w:ascii="Arial" w:hAnsi="Arial" w:cs="Arial"/>
          <w:color w:val="2E74B5" w:themeColor="accent1" w:themeShade="BF"/>
          <w:sz w:val="24"/>
          <w:szCs w:val="24"/>
        </w:rPr>
        <w:t xml:space="preserve">. </w:t>
      </w:r>
      <w:r w:rsidR="006452C3">
        <w:rPr>
          <w:rFonts w:ascii="Arial" w:hAnsi="Arial" w:cs="Arial"/>
          <w:color w:val="2E74B5" w:themeColor="accent1" w:themeShade="BF"/>
          <w:sz w:val="24"/>
          <w:szCs w:val="24"/>
        </w:rPr>
        <w:t>Por lo tanto, la muestra deberá ser diversa y contener la cantidad de personas necesarias que representen el universo</w:t>
      </w:r>
      <w:r w:rsidR="00265FB2">
        <w:rPr>
          <w:rFonts w:ascii="Arial" w:hAnsi="Arial" w:cs="Arial"/>
          <w:color w:val="2E74B5" w:themeColor="accent1" w:themeShade="BF"/>
          <w:sz w:val="24"/>
          <w:szCs w:val="24"/>
        </w:rPr>
        <w:t xml:space="preserve"> completo</w:t>
      </w:r>
      <w:r w:rsidR="006452C3">
        <w:rPr>
          <w:rFonts w:ascii="Arial" w:hAnsi="Arial" w:cs="Arial"/>
          <w:color w:val="2E74B5" w:themeColor="accent1" w:themeShade="BF"/>
          <w:sz w:val="24"/>
          <w:szCs w:val="24"/>
        </w:rPr>
        <w:t xml:space="preserve">. </w:t>
      </w:r>
      <w:r w:rsidR="00620B6A">
        <w:rPr>
          <w:rFonts w:ascii="Arial" w:hAnsi="Arial" w:cs="Arial"/>
          <w:color w:val="2E74B5" w:themeColor="accent1" w:themeShade="BF"/>
          <w:sz w:val="24"/>
          <w:szCs w:val="24"/>
        </w:rPr>
        <w:t xml:space="preserve">De igual manera, se planea obtener </w:t>
      </w:r>
      <w:r w:rsidR="007E35F8">
        <w:rPr>
          <w:rFonts w:ascii="Arial" w:hAnsi="Arial" w:cs="Arial"/>
          <w:color w:val="2E74B5" w:themeColor="accent1" w:themeShade="BF"/>
          <w:sz w:val="24"/>
          <w:szCs w:val="24"/>
        </w:rPr>
        <w:t>opiniones de personas relacionadas con la ejecución del servicio y la venta del mismo.</w:t>
      </w:r>
    </w:p>
    <w:p w14:paraId="06EE1B46" w14:textId="77777777" w:rsidR="00EA7386" w:rsidRDefault="00EA7386" w:rsidP="00BF30F7">
      <w:pPr>
        <w:jc w:val="both"/>
        <w:rPr>
          <w:rFonts w:ascii="Arial" w:hAnsi="Arial" w:cs="Arial"/>
          <w:color w:val="2E74B5" w:themeColor="accent1" w:themeShade="BF"/>
          <w:sz w:val="24"/>
          <w:szCs w:val="24"/>
        </w:rPr>
      </w:pPr>
    </w:p>
    <w:p w14:paraId="7799024D" w14:textId="77777777" w:rsidR="00EA7386" w:rsidRDefault="00EA7386" w:rsidP="00BF30F7">
      <w:pPr>
        <w:jc w:val="both"/>
        <w:rPr>
          <w:rFonts w:ascii="Arial" w:hAnsi="Arial" w:cs="Arial"/>
          <w:color w:val="2E74B5" w:themeColor="accent1" w:themeShade="BF"/>
          <w:sz w:val="24"/>
          <w:szCs w:val="24"/>
        </w:rPr>
      </w:pPr>
    </w:p>
    <w:p w14:paraId="43FA34D1" w14:textId="77777777" w:rsidR="00EA7386" w:rsidRDefault="00EA7386" w:rsidP="00BF30F7">
      <w:pPr>
        <w:jc w:val="both"/>
        <w:rPr>
          <w:rFonts w:ascii="Arial" w:hAnsi="Arial" w:cs="Arial"/>
          <w:color w:val="2E74B5" w:themeColor="accent1" w:themeShade="BF"/>
          <w:sz w:val="24"/>
          <w:szCs w:val="24"/>
        </w:rPr>
      </w:pPr>
    </w:p>
    <w:p w14:paraId="70C8FEAE" w14:textId="77777777" w:rsidR="00EA7386" w:rsidRDefault="00EA7386" w:rsidP="00BF30F7">
      <w:pPr>
        <w:jc w:val="both"/>
        <w:rPr>
          <w:rFonts w:ascii="Arial" w:hAnsi="Arial" w:cs="Arial"/>
          <w:color w:val="2E74B5" w:themeColor="accent1" w:themeShade="BF"/>
          <w:sz w:val="24"/>
          <w:szCs w:val="24"/>
        </w:rPr>
      </w:pPr>
    </w:p>
    <w:p w14:paraId="69DF415C" w14:textId="77777777" w:rsidR="00EA7386" w:rsidRDefault="00EA7386" w:rsidP="00BF30F7">
      <w:pPr>
        <w:jc w:val="both"/>
        <w:rPr>
          <w:rFonts w:ascii="Arial" w:hAnsi="Arial" w:cs="Arial"/>
          <w:color w:val="2E74B5" w:themeColor="accent1" w:themeShade="BF"/>
          <w:sz w:val="24"/>
          <w:szCs w:val="24"/>
        </w:rPr>
      </w:pPr>
    </w:p>
    <w:p w14:paraId="34DB52D8" w14:textId="77777777" w:rsidR="00EA7386" w:rsidRDefault="00EA7386" w:rsidP="00BF30F7">
      <w:pPr>
        <w:jc w:val="both"/>
        <w:rPr>
          <w:rFonts w:ascii="Arial" w:hAnsi="Arial" w:cs="Arial"/>
          <w:color w:val="2E74B5" w:themeColor="accent1" w:themeShade="BF"/>
          <w:sz w:val="24"/>
          <w:szCs w:val="24"/>
        </w:rPr>
      </w:pPr>
    </w:p>
    <w:p w14:paraId="717F30A4" w14:textId="77777777" w:rsidR="00C144D6" w:rsidRDefault="00C144D6" w:rsidP="00BF30F7">
      <w:pPr>
        <w:jc w:val="both"/>
        <w:rPr>
          <w:rFonts w:ascii="Arial" w:hAnsi="Arial" w:cs="Arial"/>
          <w:color w:val="2E74B5" w:themeColor="accent1" w:themeShade="BF"/>
          <w:sz w:val="24"/>
          <w:szCs w:val="24"/>
        </w:rPr>
      </w:pPr>
    </w:p>
    <w:p w14:paraId="696BA64C" w14:textId="77777777" w:rsidR="00977710" w:rsidRDefault="00977710" w:rsidP="00BF30F7">
      <w:pPr>
        <w:jc w:val="both"/>
        <w:rPr>
          <w:rFonts w:ascii="Arial" w:hAnsi="Arial" w:cs="Arial"/>
          <w:color w:val="2E74B5" w:themeColor="accent1" w:themeShade="BF"/>
          <w:sz w:val="24"/>
          <w:szCs w:val="24"/>
        </w:rPr>
      </w:pPr>
    </w:p>
    <w:p w14:paraId="0577FBAD" w14:textId="26923F8D" w:rsidR="00701F37" w:rsidRDefault="00701F37" w:rsidP="00BF30F7">
      <w:pPr>
        <w:jc w:val="both"/>
        <w:rPr>
          <w:rFonts w:ascii="Arial" w:hAnsi="Arial" w:cs="Arial"/>
          <w:color w:val="2E74B5" w:themeColor="accent1" w:themeShade="BF"/>
          <w:sz w:val="24"/>
          <w:szCs w:val="24"/>
        </w:rPr>
      </w:pPr>
      <w:r w:rsidRPr="00701F37">
        <w:rPr>
          <w:rFonts w:ascii="Arial" w:hAnsi="Arial" w:cs="Arial"/>
          <w:b/>
          <w:color w:val="2E74B5" w:themeColor="accent1" w:themeShade="BF"/>
          <w:sz w:val="24"/>
          <w:szCs w:val="24"/>
          <w:u w:val="single"/>
        </w:rPr>
        <w:lastRenderedPageBreak/>
        <w:t>Matriz de categorias orientadoras</w:t>
      </w:r>
    </w:p>
    <w:p w14:paraId="12CE7058" w14:textId="0A1F7585" w:rsidR="00701F37" w:rsidRDefault="00701F37" w:rsidP="00BF30F7">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Segmento Clientes</w:t>
      </w:r>
    </w:p>
    <w:tbl>
      <w:tblPr>
        <w:tblW w:w="4855" w:type="pct"/>
        <w:tblLayout w:type="fixed"/>
        <w:tblCellMar>
          <w:left w:w="70" w:type="dxa"/>
          <w:right w:w="70" w:type="dxa"/>
        </w:tblCellMar>
        <w:tblLook w:val="04A0" w:firstRow="1" w:lastRow="0" w:firstColumn="1" w:lastColumn="0" w:noHBand="0" w:noVBand="1"/>
      </w:tblPr>
      <w:tblGrid>
        <w:gridCol w:w="1426"/>
        <w:gridCol w:w="2755"/>
        <w:gridCol w:w="1984"/>
        <w:gridCol w:w="2553"/>
      </w:tblGrid>
      <w:tr w:rsidR="00701F37" w:rsidRPr="00140DAA" w14:paraId="608A7546" w14:textId="77777777" w:rsidTr="00701F37">
        <w:trPr>
          <w:trHeight w:val="500"/>
        </w:trPr>
        <w:tc>
          <w:tcPr>
            <w:tcW w:w="818"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72567F3F"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Categoría orientadora</w:t>
            </w:r>
          </w:p>
        </w:tc>
        <w:tc>
          <w:tcPr>
            <w:tcW w:w="1580" w:type="pct"/>
            <w:tcBorders>
              <w:top w:val="single" w:sz="4" w:space="0" w:color="auto"/>
              <w:left w:val="nil"/>
              <w:bottom w:val="single" w:sz="4" w:space="0" w:color="auto"/>
              <w:right w:val="single" w:sz="4" w:space="0" w:color="auto"/>
            </w:tcBorders>
            <w:shd w:val="clear" w:color="000000" w:fill="DCE6F1"/>
            <w:noWrap/>
            <w:vAlign w:val="bottom"/>
            <w:hideMark/>
          </w:tcPr>
          <w:p w14:paraId="7B5C9B47"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Definición</w:t>
            </w:r>
          </w:p>
        </w:tc>
        <w:tc>
          <w:tcPr>
            <w:tcW w:w="1138" w:type="pct"/>
            <w:tcBorders>
              <w:top w:val="single" w:sz="4" w:space="0" w:color="auto"/>
              <w:left w:val="nil"/>
              <w:bottom w:val="single" w:sz="4" w:space="0" w:color="auto"/>
              <w:right w:val="single" w:sz="4" w:space="0" w:color="auto"/>
            </w:tcBorders>
            <w:shd w:val="clear" w:color="000000" w:fill="DCE6F1"/>
            <w:noWrap/>
            <w:vAlign w:val="bottom"/>
            <w:hideMark/>
          </w:tcPr>
          <w:p w14:paraId="2ABDFBB0"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Ejes de indagación</w:t>
            </w:r>
          </w:p>
        </w:tc>
        <w:tc>
          <w:tcPr>
            <w:tcW w:w="1464" w:type="pct"/>
            <w:tcBorders>
              <w:top w:val="single" w:sz="4" w:space="0" w:color="auto"/>
              <w:left w:val="nil"/>
              <w:bottom w:val="single" w:sz="4" w:space="0" w:color="auto"/>
              <w:right w:val="single" w:sz="4" w:space="0" w:color="auto"/>
            </w:tcBorders>
            <w:shd w:val="clear" w:color="000000" w:fill="DCE6F1"/>
            <w:noWrap/>
            <w:vAlign w:val="bottom"/>
            <w:hideMark/>
          </w:tcPr>
          <w:p w14:paraId="556D6361"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Pregunta</w:t>
            </w:r>
          </w:p>
        </w:tc>
      </w:tr>
      <w:tr w:rsidR="00701F37" w:rsidRPr="00140DAA" w14:paraId="29BC239E" w14:textId="77777777" w:rsidTr="00701F37">
        <w:trPr>
          <w:trHeight w:val="980"/>
        </w:trPr>
        <w:tc>
          <w:tcPr>
            <w:tcW w:w="818" w:type="pct"/>
            <w:tcBorders>
              <w:top w:val="nil"/>
              <w:left w:val="single" w:sz="4" w:space="0" w:color="auto"/>
              <w:bottom w:val="single" w:sz="4" w:space="0" w:color="auto"/>
              <w:right w:val="single" w:sz="4" w:space="0" w:color="auto"/>
            </w:tcBorders>
            <w:shd w:val="clear" w:color="000000" w:fill="DCE6F1"/>
            <w:noWrap/>
            <w:vAlign w:val="center"/>
            <w:hideMark/>
          </w:tcPr>
          <w:p w14:paraId="3AC1F3FE"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Percepción</w:t>
            </w:r>
          </w:p>
        </w:tc>
        <w:tc>
          <w:tcPr>
            <w:tcW w:w="1580" w:type="pct"/>
            <w:tcBorders>
              <w:top w:val="nil"/>
              <w:left w:val="nil"/>
              <w:bottom w:val="single" w:sz="4" w:space="0" w:color="auto"/>
              <w:right w:val="single" w:sz="4" w:space="0" w:color="auto"/>
            </w:tcBorders>
            <w:shd w:val="clear" w:color="auto" w:fill="auto"/>
            <w:vAlign w:val="center"/>
            <w:hideMark/>
          </w:tcPr>
          <w:p w14:paraId="3DBA30E3"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"la percepción no es un añadido de eventos a experiencias pasadas sino una constante construcción de significados en el espacio y en el tiempo." Merleau-Ponty (1975)</w:t>
            </w:r>
          </w:p>
        </w:tc>
        <w:tc>
          <w:tcPr>
            <w:tcW w:w="1138" w:type="pct"/>
            <w:tcBorders>
              <w:top w:val="nil"/>
              <w:left w:val="nil"/>
              <w:bottom w:val="single" w:sz="4" w:space="0" w:color="auto"/>
              <w:right w:val="single" w:sz="4" w:space="0" w:color="auto"/>
            </w:tcBorders>
            <w:shd w:val="clear" w:color="auto" w:fill="auto"/>
            <w:vAlign w:val="center"/>
            <w:hideMark/>
          </w:tcPr>
          <w:p w14:paraId="2AF25799"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Experiencias - construcción de significado - espacio - tiempo</w:t>
            </w:r>
          </w:p>
        </w:tc>
        <w:tc>
          <w:tcPr>
            <w:tcW w:w="1464" w:type="pct"/>
            <w:tcBorders>
              <w:top w:val="nil"/>
              <w:left w:val="nil"/>
              <w:bottom w:val="single" w:sz="4" w:space="0" w:color="auto"/>
              <w:right w:val="single" w:sz="4" w:space="0" w:color="auto"/>
            </w:tcBorders>
            <w:shd w:val="clear" w:color="auto" w:fill="auto"/>
            <w:vAlign w:val="center"/>
            <w:hideMark/>
          </w:tcPr>
          <w:p w14:paraId="5B2F2AD5" w14:textId="77777777" w:rsidR="00D506DD" w:rsidRDefault="00D506DD" w:rsidP="00104FFD">
            <w:pPr>
              <w:rPr>
                <w:rFonts w:ascii="Calibri" w:eastAsia="Times New Roman" w:hAnsi="Calibri" w:cs="Times New Roman"/>
                <w:color w:val="000000"/>
                <w:sz w:val="16"/>
                <w:szCs w:val="20"/>
                <w:lang w:eastAsia="es-ES"/>
              </w:rPr>
            </w:pPr>
          </w:p>
          <w:p w14:paraId="27E69AD3" w14:textId="539CCA34" w:rsidR="00B0198C" w:rsidRDefault="00D506DD" w:rsidP="00104FFD">
            <w:pPr>
              <w:rPr>
                <w:rFonts w:ascii="Calibri" w:eastAsia="Times New Roman" w:hAnsi="Calibri" w:cs="Times New Roman"/>
                <w:color w:val="000000"/>
                <w:sz w:val="16"/>
                <w:szCs w:val="20"/>
                <w:lang w:eastAsia="es-ES"/>
              </w:rPr>
            </w:pPr>
            <w:r w:rsidRPr="005D6A00">
              <w:rPr>
                <w:rFonts w:ascii="Calibri" w:eastAsia="Times New Roman" w:hAnsi="Calibri" w:cs="Times New Roman"/>
                <w:color w:val="000000"/>
                <w:sz w:val="16"/>
                <w:szCs w:val="20"/>
                <w:lang w:eastAsia="es-ES"/>
              </w:rPr>
              <w:t>¿Cómo percibe la seguridad en la ciudad</w:t>
            </w:r>
            <w:r>
              <w:rPr>
                <w:rFonts w:ascii="Calibri" w:eastAsia="Times New Roman" w:hAnsi="Calibri" w:cs="Times New Roman"/>
                <w:color w:val="000000"/>
                <w:sz w:val="16"/>
                <w:szCs w:val="20"/>
                <w:lang w:eastAsia="es-ES"/>
              </w:rPr>
              <w:t xml:space="preserve"> y el país</w:t>
            </w:r>
            <w:r w:rsidRPr="005D6A00">
              <w:rPr>
                <w:rFonts w:ascii="Calibri" w:eastAsia="Times New Roman" w:hAnsi="Calibri" w:cs="Times New Roman"/>
                <w:color w:val="000000"/>
                <w:sz w:val="16"/>
                <w:szCs w:val="20"/>
                <w:lang w:eastAsia="es-ES"/>
              </w:rPr>
              <w:t>?</w:t>
            </w:r>
          </w:p>
          <w:p w14:paraId="52D383C6" w14:textId="57301238" w:rsidR="008712CB" w:rsidRDefault="00B0198C" w:rsidP="0046291B">
            <w:pPr>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¿Cree que el sector de seguridad privada ayuda a mej</w:t>
            </w:r>
            <w:r w:rsidR="0046291B">
              <w:rPr>
                <w:rFonts w:ascii="Calibri" w:eastAsia="Times New Roman" w:hAnsi="Calibri" w:cs="Times New Roman"/>
                <w:color w:val="000000"/>
                <w:sz w:val="16"/>
                <w:szCs w:val="20"/>
                <w:lang w:eastAsia="es-ES"/>
              </w:rPr>
              <w:t>orar la  seguridad de la ciudad y del país</w:t>
            </w:r>
            <w:r>
              <w:rPr>
                <w:rFonts w:ascii="Calibri" w:eastAsia="Times New Roman" w:hAnsi="Calibri" w:cs="Times New Roman"/>
                <w:color w:val="000000"/>
                <w:sz w:val="16"/>
                <w:szCs w:val="20"/>
                <w:lang w:eastAsia="es-ES"/>
              </w:rPr>
              <w:t>?</w:t>
            </w:r>
          </w:p>
          <w:p w14:paraId="513252F1" w14:textId="77777777" w:rsidR="008712CB" w:rsidRDefault="008712CB" w:rsidP="008712CB">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¿Considera que su conocimiento y participación en el levantamiento de información para la solución de seguridad, ayudó al proveedor a darle la mejor alternativa?</w:t>
            </w:r>
          </w:p>
          <w:p w14:paraId="146065E9" w14:textId="77777777" w:rsidR="008712CB" w:rsidRDefault="008712CB" w:rsidP="00701F37">
            <w:pPr>
              <w:spacing w:after="0" w:line="240" w:lineRule="auto"/>
              <w:rPr>
                <w:rFonts w:ascii="Calibri" w:eastAsia="Times New Roman" w:hAnsi="Calibri" w:cs="Times New Roman"/>
                <w:color w:val="000000"/>
                <w:sz w:val="16"/>
                <w:szCs w:val="20"/>
                <w:lang w:eastAsia="es-ES"/>
              </w:rPr>
            </w:pPr>
          </w:p>
          <w:p w14:paraId="6B817D9D" w14:textId="77777777" w:rsidR="008712CB" w:rsidRDefault="008712CB" w:rsidP="008712CB">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¿El proveedor tiene en cuenta sus sugerencias al estructurar la solución de seguridad? Considera que esto ayuda a que le preste un mejor servicio?</w:t>
            </w:r>
          </w:p>
          <w:p w14:paraId="42F27BBB" w14:textId="77777777" w:rsidR="008712CB" w:rsidRDefault="008712CB" w:rsidP="00701F37">
            <w:pPr>
              <w:spacing w:after="0" w:line="240" w:lineRule="auto"/>
              <w:rPr>
                <w:rFonts w:ascii="Calibri" w:eastAsia="Times New Roman" w:hAnsi="Calibri" w:cs="Times New Roman"/>
                <w:color w:val="000000"/>
                <w:sz w:val="16"/>
                <w:szCs w:val="20"/>
                <w:lang w:eastAsia="es-ES"/>
              </w:rPr>
            </w:pPr>
          </w:p>
          <w:p w14:paraId="2E1747F9" w14:textId="62EB0C2D" w:rsidR="00701F37"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w:t>
            </w:r>
            <w:r w:rsidR="00D506DD">
              <w:rPr>
                <w:rFonts w:ascii="Calibri" w:eastAsia="Times New Roman" w:hAnsi="Calibri" w:cs="Times New Roman"/>
                <w:color w:val="000000"/>
                <w:sz w:val="16"/>
                <w:szCs w:val="20"/>
                <w:lang w:eastAsia="es-ES"/>
              </w:rPr>
              <w:t>Obt</w:t>
            </w:r>
            <w:r w:rsidR="0046291B">
              <w:rPr>
                <w:rFonts w:ascii="Calibri" w:eastAsia="Times New Roman" w:hAnsi="Calibri" w:cs="Times New Roman"/>
                <w:color w:val="000000"/>
                <w:sz w:val="16"/>
                <w:szCs w:val="20"/>
                <w:lang w:eastAsia="es-ES"/>
              </w:rPr>
              <w:t>iene</w:t>
            </w:r>
            <w:r w:rsidR="00D506DD">
              <w:rPr>
                <w:rFonts w:ascii="Calibri" w:eastAsia="Times New Roman" w:hAnsi="Calibri" w:cs="Times New Roman"/>
                <w:color w:val="000000"/>
                <w:sz w:val="16"/>
                <w:szCs w:val="20"/>
                <w:lang w:eastAsia="es-ES"/>
              </w:rPr>
              <w:t xml:space="preserve"> d</w:t>
            </w:r>
            <w:r w:rsidRPr="00140DAA">
              <w:rPr>
                <w:rFonts w:ascii="Calibri" w:eastAsia="Times New Roman" w:hAnsi="Calibri" w:cs="Times New Roman"/>
                <w:color w:val="000000"/>
                <w:sz w:val="16"/>
                <w:szCs w:val="20"/>
                <w:lang w:eastAsia="es-ES"/>
              </w:rPr>
              <w:t>el servicio</w:t>
            </w:r>
            <w:r w:rsidR="00D506DD">
              <w:rPr>
                <w:rFonts w:ascii="Calibri" w:eastAsia="Times New Roman" w:hAnsi="Calibri" w:cs="Times New Roman"/>
                <w:color w:val="000000"/>
                <w:sz w:val="16"/>
                <w:szCs w:val="20"/>
                <w:lang w:eastAsia="es-ES"/>
              </w:rPr>
              <w:t xml:space="preserve"> prestado lo que buscaba exactamente?</w:t>
            </w:r>
          </w:p>
          <w:p w14:paraId="244FF023" w14:textId="43BD2E34" w:rsidR="00F53BD8" w:rsidRPr="00140DAA" w:rsidRDefault="00F53BD8" w:rsidP="00701F37">
            <w:pPr>
              <w:spacing w:after="0" w:line="240" w:lineRule="auto"/>
              <w:rPr>
                <w:rFonts w:ascii="Calibri" w:eastAsia="Times New Roman" w:hAnsi="Calibri" w:cs="Times New Roman"/>
                <w:color w:val="000000"/>
                <w:sz w:val="16"/>
                <w:szCs w:val="20"/>
                <w:lang w:eastAsia="es-ES"/>
              </w:rPr>
            </w:pPr>
          </w:p>
        </w:tc>
      </w:tr>
      <w:tr w:rsidR="00701F37" w:rsidRPr="00140DAA" w14:paraId="37888F97" w14:textId="77777777" w:rsidTr="00701F37">
        <w:trPr>
          <w:trHeight w:val="980"/>
        </w:trPr>
        <w:tc>
          <w:tcPr>
            <w:tcW w:w="818" w:type="pct"/>
            <w:tcBorders>
              <w:top w:val="nil"/>
              <w:left w:val="single" w:sz="4" w:space="0" w:color="auto"/>
              <w:bottom w:val="single" w:sz="4" w:space="0" w:color="auto"/>
              <w:right w:val="single" w:sz="4" w:space="0" w:color="auto"/>
            </w:tcBorders>
            <w:shd w:val="clear" w:color="000000" w:fill="DCE6F1"/>
            <w:noWrap/>
            <w:vAlign w:val="center"/>
            <w:hideMark/>
          </w:tcPr>
          <w:p w14:paraId="31AF2104" w14:textId="3054148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Valor percibido</w:t>
            </w:r>
          </w:p>
        </w:tc>
        <w:tc>
          <w:tcPr>
            <w:tcW w:w="1580" w:type="pct"/>
            <w:tcBorders>
              <w:top w:val="nil"/>
              <w:left w:val="nil"/>
              <w:bottom w:val="single" w:sz="4" w:space="0" w:color="auto"/>
              <w:right w:val="single" w:sz="4" w:space="0" w:color="auto"/>
            </w:tcBorders>
            <w:shd w:val="clear" w:color="auto" w:fill="auto"/>
            <w:vAlign w:val="center"/>
            <w:hideMark/>
          </w:tcPr>
          <w:p w14:paraId="26926E45"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“El valor percibido es la evaluación global del consumidor de la utilidad de un producto, basada en la percepción de lo que se recibe y de lo que se entrega” Zeithaml (1988:14)</w:t>
            </w:r>
          </w:p>
        </w:tc>
        <w:tc>
          <w:tcPr>
            <w:tcW w:w="1138" w:type="pct"/>
            <w:tcBorders>
              <w:top w:val="nil"/>
              <w:left w:val="nil"/>
              <w:bottom w:val="single" w:sz="4" w:space="0" w:color="auto"/>
              <w:right w:val="single" w:sz="4" w:space="0" w:color="auto"/>
            </w:tcBorders>
            <w:shd w:val="clear" w:color="auto" w:fill="auto"/>
            <w:vAlign w:val="center"/>
            <w:hideMark/>
          </w:tcPr>
          <w:p w14:paraId="5A9D2269"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Evaluación global - recibe - entrega</w:t>
            </w:r>
          </w:p>
        </w:tc>
        <w:tc>
          <w:tcPr>
            <w:tcW w:w="1464" w:type="pct"/>
            <w:tcBorders>
              <w:top w:val="nil"/>
              <w:left w:val="nil"/>
              <w:bottom w:val="single" w:sz="4" w:space="0" w:color="auto"/>
              <w:right w:val="single" w:sz="4" w:space="0" w:color="auto"/>
            </w:tcBorders>
            <w:shd w:val="clear" w:color="auto" w:fill="auto"/>
            <w:vAlign w:val="center"/>
            <w:hideMark/>
          </w:tcPr>
          <w:p w14:paraId="1309FFDA" w14:textId="77777777" w:rsidR="00D506DD" w:rsidRDefault="00D506DD" w:rsidP="00701F37">
            <w:pPr>
              <w:spacing w:after="0" w:line="240" w:lineRule="auto"/>
              <w:rPr>
                <w:rFonts w:ascii="Calibri" w:eastAsia="Times New Roman" w:hAnsi="Calibri" w:cs="Times New Roman"/>
                <w:color w:val="000000"/>
                <w:sz w:val="16"/>
                <w:szCs w:val="20"/>
                <w:lang w:eastAsia="es-ES"/>
              </w:rPr>
            </w:pPr>
          </w:p>
          <w:p w14:paraId="6E0C0F81" w14:textId="77777777" w:rsidR="00701F37"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¿Qué obtiene usted y su empresa cuando se le presta el servicio?</w:t>
            </w:r>
          </w:p>
          <w:p w14:paraId="5FBBA84B" w14:textId="77777777" w:rsidR="00D506DD" w:rsidRDefault="00D506DD" w:rsidP="00701F37">
            <w:pPr>
              <w:spacing w:after="0" w:line="240" w:lineRule="auto"/>
              <w:rPr>
                <w:rFonts w:ascii="Calibri" w:eastAsia="Times New Roman" w:hAnsi="Calibri" w:cs="Times New Roman"/>
                <w:color w:val="000000"/>
                <w:sz w:val="16"/>
                <w:szCs w:val="20"/>
                <w:lang w:eastAsia="es-ES"/>
              </w:rPr>
            </w:pPr>
          </w:p>
          <w:p w14:paraId="3D343CC2" w14:textId="031E33F8" w:rsidR="00D506DD" w:rsidRDefault="00D506DD" w:rsidP="00701F37">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 xml:space="preserve">¿Cree Usted que el servicio de seguridad con el que cuenta actualmente le añade </w:t>
            </w:r>
            <w:r w:rsidR="0046291B">
              <w:rPr>
                <w:rFonts w:ascii="Calibri" w:eastAsia="Times New Roman" w:hAnsi="Calibri" w:cs="Times New Roman"/>
                <w:color w:val="000000"/>
                <w:sz w:val="16"/>
                <w:szCs w:val="20"/>
                <w:lang w:eastAsia="es-ES"/>
              </w:rPr>
              <w:t xml:space="preserve">aspectos positivos </w:t>
            </w:r>
            <w:r>
              <w:rPr>
                <w:rFonts w:ascii="Calibri" w:eastAsia="Times New Roman" w:hAnsi="Calibri" w:cs="Times New Roman"/>
                <w:color w:val="000000"/>
                <w:sz w:val="16"/>
                <w:szCs w:val="20"/>
                <w:lang w:eastAsia="es-ES"/>
              </w:rPr>
              <w:t>a su negocio?</w:t>
            </w:r>
            <w:r w:rsidR="0046291B">
              <w:rPr>
                <w:rFonts w:ascii="Calibri" w:eastAsia="Times New Roman" w:hAnsi="Calibri" w:cs="Times New Roman"/>
                <w:color w:val="000000"/>
                <w:sz w:val="16"/>
                <w:szCs w:val="20"/>
                <w:lang w:eastAsia="es-ES"/>
              </w:rPr>
              <w:t>, nombre algunos.</w:t>
            </w:r>
          </w:p>
          <w:p w14:paraId="0E8ACF55" w14:textId="77777777" w:rsidR="0046291B" w:rsidRDefault="0046291B" w:rsidP="00701F37">
            <w:pPr>
              <w:spacing w:after="0" w:line="240" w:lineRule="auto"/>
              <w:rPr>
                <w:rFonts w:ascii="Calibri" w:eastAsia="Times New Roman" w:hAnsi="Calibri" w:cs="Times New Roman"/>
                <w:color w:val="000000"/>
                <w:sz w:val="16"/>
                <w:szCs w:val="20"/>
                <w:lang w:eastAsia="es-ES"/>
              </w:rPr>
            </w:pPr>
          </w:p>
          <w:p w14:paraId="7E40B449" w14:textId="313D799D" w:rsidR="0046291B" w:rsidRDefault="0046291B" w:rsidP="00701F37">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Que aspectos negativos considera tiene el servicio, de acuerdo con su experiencia.</w:t>
            </w:r>
          </w:p>
          <w:p w14:paraId="28DFA38E" w14:textId="77777777" w:rsidR="0046291B" w:rsidRDefault="0046291B" w:rsidP="00701F37">
            <w:pPr>
              <w:spacing w:after="0" w:line="240" w:lineRule="auto"/>
              <w:rPr>
                <w:rFonts w:ascii="Calibri" w:eastAsia="Times New Roman" w:hAnsi="Calibri" w:cs="Times New Roman"/>
                <w:color w:val="000000"/>
                <w:sz w:val="16"/>
                <w:szCs w:val="20"/>
                <w:lang w:eastAsia="es-ES"/>
              </w:rPr>
            </w:pPr>
          </w:p>
          <w:p w14:paraId="593DEBB6" w14:textId="77777777" w:rsidR="00D506DD" w:rsidRPr="00140DAA" w:rsidRDefault="00D506DD" w:rsidP="00701F37">
            <w:pPr>
              <w:spacing w:after="0" w:line="240" w:lineRule="auto"/>
              <w:rPr>
                <w:rFonts w:ascii="Calibri" w:eastAsia="Times New Roman" w:hAnsi="Calibri" w:cs="Times New Roman"/>
                <w:color w:val="000000"/>
                <w:sz w:val="16"/>
                <w:szCs w:val="20"/>
                <w:lang w:eastAsia="es-ES"/>
              </w:rPr>
            </w:pPr>
          </w:p>
        </w:tc>
      </w:tr>
      <w:tr w:rsidR="00701F37" w:rsidRPr="00140DAA" w14:paraId="4C296F0D" w14:textId="77777777" w:rsidTr="00701F37">
        <w:trPr>
          <w:trHeight w:val="1220"/>
        </w:trPr>
        <w:tc>
          <w:tcPr>
            <w:tcW w:w="818" w:type="pct"/>
            <w:tcBorders>
              <w:top w:val="nil"/>
              <w:left w:val="single" w:sz="4" w:space="0" w:color="auto"/>
              <w:bottom w:val="single" w:sz="4" w:space="0" w:color="auto"/>
              <w:right w:val="single" w:sz="4" w:space="0" w:color="auto"/>
            </w:tcBorders>
            <w:shd w:val="clear" w:color="000000" w:fill="DCE6F1"/>
            <w:noWrap/>
            <w:vAlign w:val="center"/>
            <w:hideMark/>
          </w:tcPr>
          <w:p w14:paraId="0CF971F8" w14:textId="2FB16A63"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Valor</w:t>
            </w:r>
          </w:p>
        </w:tc>
        <w:tc>
          <w:tcPr>
            <w:tcW w:w="1580" w:type="pct"/>
            <w:tcBorders>
              <w:top w:val="nil"/>
              <w:left w:val="nil"/>
              <w:bottom w:val="single" w:sz="4" w:space="0" w:color="auto"/>
              <w:right w:val="single" w:sz="4" w:space="0" w:color="auto"/>
            </w:tcBorders>
            <w:shd w:val="clear" w:color="auto" w:fill="auto"/>
            <w:vAlign w:val="center"/>
            <w:hideMark/>
          </w:tcPr>
          <w:p w14:paraId="5895EFF7"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“El valor puede entenderse como una combinación de la calidad percibida de un producto y del precio asociado, que el cliente sintetiza como el valor recibido” Chang y Wildt (1994:44)</w:t>
            </w:r>
          </w:p>
        </w:tc>
        <w:tc>
          <w:tcPr>
            <w:tcW w:w="1138" w:type="pct"/>
            <w:tcBorders>
              <w:top w:val="nil"/>
              <w:left w:val="nil"/>
              <w:bottom w:val="single" w:sz="4" w:space="0" w:color="auto"/>
              <w:right w:val="single" w:sz="4" w:space="0" w:color="auto"/>
            </w:tcBorders>
            <w:shd w:val="clear" w:color="auto" w:fill="auto"/>
            <w:vAlign w:val="center"/>
            <w:hideMark/>
          </w:tcPr>
          <w:p w14:paraId="0B23AB67"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combinación - calidad percibida - precio asociado</w:t>
            </w:r>
          </w:p>
        </w:tc>
        <w:tc>
          <w:tcPr>
            <w:tcW w:w="1464" w:type="pct"/>
            <w:tcBorders>
              <w:top w:val="nil"/>
              <w:left w:val="nil"/>
              <w:bottom w:val="single" w:sz="4" w:space="0" w:color="auto"/>
              <w:right w:val="single" w:sz="4" w:space="0" w:color="auto"/>
            </w:tcBorders>
            <w:shd w:val="clear" w:color="auto" w:fill="auto"/>
            <w:vAlign w:val="center"/>
            <w:hideMark/>
          </w:tcPr>
          <w:p w14:paraId="081FC63C" w14:textId="77777777" w:rsidR="00701F37"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¿Lo que obtiene del servicio es coherente con lo que pensaba recibir y con respecto a lo presupu</w:t>
            </w:r>
            <w:r w:rsidR="00104A7F">
              <w:rPr>
                <w:rFonts w:ascii="Calibri" w:eastAsia="Times New Roman" w:hAnsi="Calibri" w:cs="Times New Roman"/>
                <w:color w:val="000000"/>
                <w:sz w:val="16"/>
                <w:szCs w:val="20"/>
                <w:lang w:eastAsia="es-ES"/>
              </w:rPr>
              <w:t>e</w:t>
            </w:r>
            <w:r w:rsidRPr="00140DAA">
              <w:rPr>
                <w:rFonts w:ascii="Calibri" w:eastAsia="Times New Roman" w:hAnsi="Calibri" w:cs="Times New Roman"/>
                <w:color w:val="000000"/>
                <w:sz w:val="16"/>
                <w:szCs w:val="20"/>
                <w:lang w:eastAsia="es-ES"/>
              </w:rPr>
              <w:t>stado?</w:t>
            </w:r>
          </w:p>
          <w:p w14:paraId="495CE213" w14:textId="77777777" w:rsidR="0046291B" w:rsidRDefault="0046291B" w:rsidP="00701F37">
            <w:pPr>
              <w:spacing w:after="0" w:line="240" w:lineRule="auto"/>
              <w:rPr>
                <w:rFonts w:ascii="Calibri" w:eastAsia="Times New Roman" w:hAnsi="Calibri" w:cs="Times New Roman"/>
                <w:color w:val="000000"/>
                <w:sz w:val="16"/>
                <w:szCs w:val="20"/>
                <w:lang w:eastAsia="es-ES"/>
              </w:rPr>
            </w:pPr>
          </w:p>
          <w:p w14:paraId="0B59E1CD" w14:textId="77777777" w:rsidR="0046291B" w:rsidRDefault="0046291B" w:rsidP="0046291B">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 xml:space="preserve">¿El precio es un factor  determinante en la calidad del servicio? </w:t>
            </w:r>
          </w:p>
          <w:p w14:paraId="72734BA2" w14:textId="2C54B97E" w:rsidR="0046291B" w:rsidRPr="00140DAA" w:rsidRDefault="0046291B" w:rsidP="0046291B">
            <w:pPr>
              <w:spacing w:after="0" w:line="240" w:lineRule="auto"/>
              <w:rPr>
                <w:rFonts w:ascii="Calibri" w:eastAsia="Times New Roman" w:hAnsi="Calibri" w:cs="Times New Roman"/>
                <w:color w:val="000000"/>
                <w:sz w:val="16"/>
                <w:szCs w:val="20"/>
                <w:lang w:eastAsia="es-ES"/>
              </w:rPr>
            </w:pPr>
          </w:p>
        </w:tc>
      </w:tr>
      <w:tr w:rsidR="00701F37" w:rsidRPr="00140DAA" w14:paraId="13ADEF9F" w14:textId="77777777" w:rsidTr="0046291B">
        <w:trPr>
          <w:trHeight w:val="832"/>
        </w:trPr>
        <w:tc>
          <w:tcPr>
            <w:tcW w:w="818" w:type="pct"/>
            <w:tcBorders>
              <w:top w:val="nil"/>
              <w:left w:val="single" w:sz="4" w:space="0" w:color="auto"/>
              <w:bottom w:val="single" w:sz="4" w:space="0" w:color="auto"/>
              <w:right w:val="single" w:sz="4" w:space="0" w:color="auto"/>
            </w:tcBorders>
            <w:shd w:val="clear" w:color="000000" w:fill="DCE6F1"/>
            <w:noWrap/>
            <w:vAlign w:val="center"/>
            <w:hideMark/>
          </w:tcPr>
          <w:p w14:paraId="6C962075" w14:textId="77777777" w:rsidR="00701F37" w:rsidRPr="00140DAA" w:rsidRDefault="00701F37" w:rsidP="00701F37">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Valor de marca</w:t>
            </w:r>
          </w:p>
        </w:tc>
        <w:tc>
          <w:tcPr>
            <w:tcW w:w="1580" w:type="pct"/>
            <w:tcBorders>
              <w:top w:val="nil"/>
              <w:left w:val="nil"/>
              <w:bottom w:val="single" w:sz="4" w:space="0" w:color="auto"/>
              <w:right w:val="single" w:sz="4" w:space="0" w:color="auto"/>
            </w:tcBorders>
            <w:shd w:val="clear" w:color="auto" w:fill="auto"/>
            <w:vAlign w:val="center"/>
            <w:hideMark/>
          </w:tcPr>
          <w:p w14:paraId="5668276E" w14:textId="6CFE1E18"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"Se da un verdadero valor de marca para un consumidor cuando existe un reconocimiento relevante de la marca con asociaciones favorables en determinado contexto de elección de compra. La marca genera genuino valor al consumidor cuando éste la percibe de forma diferenciable, especial y atractiva del resto de las marcas rivales" (Keller, 1998)</w:t>
            </w:r>
          </w:p>
        </w:tc>
        <w:tc>
          <w:tcPr>
            <w:tcW w:w="1138" w:type="pct"/>
            <w:tcBorders>
              <w:top w:val="nil"/>
              <w:left w:val="nil"/>
              <w:bottom w:val="single" w:sz="4" w:space="0" w:color="auto"/>
              <w:right w:val="single" w:sz="4" w:space="0" w:color="auto"/>
            </w:tcBorders>
            <w:shd w:val="clear" w:color="auto" w:fill="auto"/>
            <w:vAlign w:val="center"/>
            <w:hideMark/>
          </w:tcPr>
          <w:p w14:paraId="74BD9BC5" w14:textId="77777777" w:rsidR="00701F37" w:rsidRPr="00140DAA"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reconocimiento relevante - asociaciones favorables - diferenciable - especial y atractiva</w:t>
            </w:r>
          </w:p>
        </w:tc>
        <w:tc>
          <w:tcPr>
            <w:tcW w:w="1464" w:type="pct"/>
            <w:tcBorders>
              <w:top w:val="nil"/>
              <w:left w:val="nil"/>
              <w:bottom w:val="single" w:sz="4" w:space="0" w:color="auto"/>
              <w:right w:val="single" w:sz="4" w:space="0" w:color="auto"/>
            </w:tcBorders>
            <w:shd w:val="clear" w:color="auto" w:fill="auto"/>
            <w:vAlign w:val="center"/>
            <w:hideMark/>
          </w:tcPr>
          <w:p w14:paraId="1238225C" w14:textId="77777777" w:rsidR="0046291B" w:rsidRDefault="0046291B" w:rsidP="00701F37">
            <w:pPr>
              <w:spacing w:after="0" w:line="240" w:lineRule="auto"/>
              <w:rPr>
                <w:rFonts w:ascii="Calibri" w:eastAsia="Times New Roman" w:hAnsi="Calibri" w:cs="Times New Roman"/>
                <w:color w:val="000000"/>
                <w:sz w:val="16"/>
                <w:szCs w:val="20"/>
                <w:lang w:eastAsia="es-ES"/>
              </w:rPr>
            </w:pPr>
          </w:p>
          <w:p w14:paraId="603A9708" w14:textId="7C460DBE" w:rsidR="00701F37" w:rsidRDefault="00701F37" w:rsidP="00701F37">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Al escoger un proveedor de seguridad, que aspectos cualitativos considera son los más relevantes</w:t>
            </w:r>
            <w:r w:rsidR="00D506DD">
              <w:rPr>
                <w:rFonts w:ascii="Calibri" w:eastAsia="Times New Roman" w:hAnsi="Calibri" w:cs="Times New Roman"/>
                <w:color w:val="000000"/>
                <w:sz w:val="16"/>
                <w:szCs w:val="20"/>
                <w:lang w:eastAsia="es-ES"/>
              </w:rPr>
              <w:t xml:space="preserve"> (experiencia,  reconocimiento de marca, buenas referencias de otros</w:t>
            </w:r>
            <w:r w:rsidR="00104FFD">
              <w:rPr>
                <w:rFonts w:ascii="Calibri" w:eastAsia="Times New Roman" w:hAnsi="Calibri" w:cs="Times New Roman"/>
                <w:color w:val="000000"/>
                <w:sz w:val="16"/>
                <w:szCs w:val="20"/>
                <w:lang w:eastAsia="es-ES"/>
              </w:rPr>
              <w:t xml:space="preserve"> clientes</w:t>
            </w:r>
            <w:r w:rsidR="00D506DD">
              <w:rPr>
                <w:rFonts w:ascii="Calibri" w:eastAsia="Times New Roman" w:hAnsi="Calibri" w:cs="Times New Roman"/>
                <w:color w:val="000000"/>
                <w:sz w:val="16"/>
                <w:szCs w:val="20"/>
                <w:lang w:eastAsia="es-ES"/>
              </w:rPr>
              <w:t>,</w:t>
            </w:r>
            <w:r w:rsidR="00104FFD">
              <w:rPr>
                <w:rFonts w:ascii="Calibri" w:eastAsia="Times New Roman" w:hAnsi="Calibri" w:cs="Times New Roman"/>
                <w:color w:val="000000"/>
                <w:sz w:val="16"/>
                <w:szCs w:val="20"/>
                <w:lang w:eastAsia="es-ES"/>
              </w:rPr>
              <w:t xml:space="preserve"> atención de sus fucionarios, coherencia entre lo que la marca pretende ser y lo que muestra en su operación.</w:t>
            </w:r>
            <w:r w:rsidR="00D506DD">
              <w:rPr>
                <w:rFonts w:ascii="Calibri" w:eastAsia="Times New Roman" w:hAnsi="Calibri" w:cs="Times New Roman"/>
                <w:color w:val="000000"/>
                <w:sz w:val="16"/>
                <w:szCs w:val="20"/>
                <w:lang w:eastAsia="es-ES"/>
              </w:rPr>
              <w:t xml:space="preserve"> </w:t>
            </w:r>
          </w:p>
          <w:p w14:paraId="42C0E619" w14:textId="77777777" w:rsidR="00701F37" w:rsidRDefault="00701F37" w:rsidP="00701F37">
            <w:pPr>
              <w:spacing w:after="0" w:line="240" w:lineRule="auto"/>
              <w:rPr>
                <w:rFonts w:ascii="Calibri" w:eastAsia="Times New Roman" w:hAnsi="Calibri" w:cs="Times New Roman"/>
                <w:color w:val="000000"/>
                <w:sz w:val="16"/>
                <w:szCs w:val="20"/>
                <w:lang w:eastAsia="es-ES"/>
              </w:rPr>
            </w:pPr>
          </w:p>
          <w:p w14:paraId="64C8A988" w14:textId="77777777" w:rsidR="00701F37" w:rsidRDefault="00104FFD" w:rsidP="00104FFD">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lastRenderedPageBreak/>
              <w:t xml:space="preserve">¿Esta de acuerdo con </w:t>
            </w:r>
            <w:r w:rsidR="00D506DD">
              <w:rPr>
                <w:rFonts w:ascii="Calibri" w:eastAsia="Times New Roman" w:hAnsi="Calibri" w:cs="Times New Roman"/>
                <w:color w:val="000000"/>
                <w:sz w:val="16"/>
                <w:szCs w:val="20"/>
                <w:lang w:eastAsia="es-ES"/>
              </w:rPr>
              <w:t xml:space="preserve">que el </w:t>
            </w:r>
            <w:r>
              <w:rPr>
                <w:rFonts w:ascii="Calibri" w:eastAsia="Times New Roman" w:hAnsi="Calibri" w:cs="Times New Roman"/>
                <w:color w:val="000000"/>
                <w:sz w:val="16"/>
                <w:szCs w:val="20"/>
                <w:lang w:eastAsia="es-ES"/>
              </w:rPr>
              <w:t xml:space="preserve">posicionamiento </w:t>
            </w:r>
            <w:r w:rsidR="00D506DD">
              <w:rPr>
                <w:rFonts w:ascii="Calibri" w:eastAsia="Times New Roman" w:hAnsi="Calibri" w:cs="Times New Roman"/>
                <w:color w:val="000000"/>
                <w:sz w:val="16"/>
                <w:szCs w:val="20"/>
                <w:lang w:eastAsia="es-ES"/>
              </w:rPr>
              <w:t>de su proveedor es importante a la</w:t>
            </w:r>
            <w:r>
              <w:rPr>
                <w:rFonts w:ascii="Calibri" w:eastAsia="Times New Roman" w:hAnsi="Calibri" w:cs="Times New Roman"/>
                <w:color w:val="000000"/>
                <w:sz w:val="16"/>
                <w:szCs w:val="20"/>
                <w:lang w:eastAsia="es-ES"/>
              </w:rPr>
              <w:t xml:space="preserve"> hora de escoger sus servicio?</w:t>
            </w:r>
          </w:p>
          <w:p w14:paraId="290DDB97" w14:textId="50E4DB1C" w:rsidR="00104A7F" w:rsidRPr="00140DAA" w:rsidRDefault="00104A7F" w:rsidP="00104FFD">
            <w:pPr>
              <w:spacing w:after="0" w:line="240" w:lineRule="auto"/>
              <w:rPr>
                <w:rFonts w:ascii="Calibri" w:eastAsia="Times New Roman" w:hAnsi="Calibri" w:cs="Times New Roman"/>
                <w:color w:val="000000"/>
                <w:sz w:val="16"/>
                <w:szCs w:val="20"/>
                <w:lang w:eastAsia="es-ES"/>
              </w:rPr>
            </w:pPr>
          </w:p>
        </w:tc>
      </w:tr>
    </w:tbl>
    <w:p w14:paraId="5D05FBF0" w14:textId="5C7E2033" w:rsidR="00EA7386" w:rsidRDefault="00701F37" w:rsidP="0011324A">
      <w:r w:rsidRPr="00701F37">
        <w:rPr>
          <w:rFonts w:ascii="Arial" w:hAnsi="Arial" w:cs="Arial"/>
          <w:color w:val="2E74B5" w:themeColor="accent1" w:themeShade="BF"/>
          <w:sz w:val="24"/>
          <w:szCs w:val="24"/>
        </w:rPr>
        <w:lastRenderedPageBreak/>
        <w:t xml:space="preserve">Construido a partir de </w:t>
      </w:r>
      <w:r w:rsidRPr="00701F37">
        <w:rPr>
          <w:rFonts w:ascii="Calibri" w:eastAsia="Times New Roman" w:hAnsi="Calibri" w:cs="Times New Roman"/>
          <w:color w:val="000000"/>
          <w:sz w:val="24"/>
          <w:szCs w:val="24"/>
          <w:lang w:eastAsia="es-ES"/>
        </w:rPr>
        <w:t>Merleau-Ponty (1975); Zeithaml (1988:14); Chang y Wildt (1994:44); (Keller, 1998)</w:t>
      </w:r>
    </w:p>
    <w:p w14:paraId="377A0774" w14:textId="075DB564" w:rsidR="00BF30F7" w:rsidRDefault="00EA7386" w:rsidP="00EA7386">
      <w:pPr>
        <w:pStyle w:val="NormalWeb"/>
        <w:jc w:val="both"/>
        <w:divId w:val="2063944336"/>
        <w:rPr>
          <w:rFonts w:ascii="Arial" w:eastAsiaTheme="minorHAnsi" w:hAnsi="Arial" w:cs="Arial"/>
          <w:color w:val="2E74B5" w:themeColor="accent1" w:themeShade="BF"/>
          <w:lang w:eastAsia="en-US"/>
        </w:rPr>
      </w:pPr>
      <w:r>
        <w:rPr>
          <w:rFonts w:ascii="Arial" w:eastAsiaTheme="minorHAnsi" w:hAnsi="Arial" w:cs="Arial"/>
          <w:color w:val="2E74B5" w:themeColor="accent1" w:themeShade="BF"/>
          <w:lang w:eastAsia="en-US"/>
        </w:rPr>
        <w:t>E</w:t>
      </w:r>
      <w:r w:rsidR="006A37E8" w:rsidRPr="00EA7386">
        <w:rPr>
          <w:rFonts w:ascii="Arial" w:eastAsiaTheme="minorHAnsi" w:hAnsi="Arial" w:cs="Arial"/>
          <w:color w:val="2E74B5" w:themeColor="accent1" w:themeShade="BF"/>
          <w:lang w:eastAsia="en-US"/>
        </w:rPr>
        <w:t xml:space="preserve">s </w:t>
      </w:r>
      <w:r>
        <w:rPr>
          <w:rFonts w:ascii="Arial" w:eastAsiaTheme="minorHAnsi" w:hAnsi="Arial" w:cs="Arial"/>
          <w:color w:val="2E74B5" w:themeColor="accent1" w:themeShade="BF"/>
          <w:lang w:eastAsia="en-US"/>
        </w:rPr>
        <w:t xml:space="preserve">igualmente </w:t>
      </w:r>
      <w:r w:rsidR="006A37E8" w:rsidRPr="00EA7386">
        <w:rPr>
          <w:rFonts w:ascii="Arial" w:eastAsiaTheme="minorHAnsi" w:hAnsi="Arial" w:cs="Arial"/>
          <w:color w:val="2E74B5" w:themeColor="accent1" w:themeShade="BF"/>
          <w:lang w:eastAsia="en-US"/>
        </w:rPr>
        <w:t>importante</w:t>
      </w:r>
      <w:r>
        <w:rPr>
          <w:rFonts w:ascii="Arial" w:eastAsiaTheme="minorHAnsi" w:hAnsi="Arial" w:cs="Arial"/>
          <w:color w:val="2E74B5" w:themeColor="accent1" w:themeShade="BF"/>
          <w:lang w:eastAsia="en-US"/>
        </w:rPr>
        <w:t>, como se menciona previamente,</w:t>
      </w:r>
      <w:r w:rsidR="006A37E8" w:rsidRPr="00EA7386">
        <w:rPr>
          <w:rFonts w:ascii="Arial" w:eastAsiaTheme="minorHAnsi" w:hAnsi="Arial" w:cs="Arial"/>
          <w:color w:val="2E74B5" w:themeColor="accent1" w:themeShade="BF"/>
          <w:lang w:eastAsia="en-US"/>
        </w:rPr>
        <w:t xml:space="preserve"> obtener información </w:t>
      </w:r>
      <w:r w:rsidRPr="00EA7386">
        <w:rPr>
          <w:rFonts w:ascii="Arial" w:eastAsiaTheme="minorHAnsi" w:hAnsi="Arial" w:cs="Arial"/>
          <w:color w:val="2E74B5" w:themeColor="accent1" w:themeShade="BF"/>
          <w:lang w:eastAsia="en-US"/>
        </w:rPr>
        <w:t xml:space="preserve">de personas que ejecuten y participan en la venta </w:t>
      </w:r>
      <w:r>
        <w:rPr>
          <w:rFonts w:ascii="Arial" w:eastAsiaTheme="minorHAnsi" w:hAnsi="Arial" w:cs="Arial"/>
          <w:color w:val="2E74B5" w:themeColor="accent1" w:themeShade="BF"/>
          <w:lang w:eastAsia="en-US"/>
        </w:rPr>
        <w:t>del servicio</w:t>
      </w:r>
      <w:r w:rsidRPr="00EA7386">
        <w:rPr>
          <w:rFonts w:ascii="Arial" w:eastAsiaTheme="minorHAnsi" w:hAnsi="Arial" w:cs="Arial"/>
          <w:color w:val="2E74B5" w:themeColor="accent1" w:themeShade="BF"/>
          <w:lang w:eastAsia="en-US"/>
        </w:rPr>
        <w:t>. A través de ellos se puede validar en que sentido el cliente es co creador del servicio. Para ellos se planea tener entrevistas directas con representantes de este segmento.</w:t>
      </w:r>
    </w:p>
    <w:p w14:paraId="7F184AA6" w14:textId="77777777" w:rsidR="0011324A" w:rsidRDefault="0011324A" w:rsidP="00EA7386">
      <w:pPr>
        <w:pStyle w:val="NormalWeb"/>
        <w:jc w:val="both"/>
        <w:divId w:val="2063944336"/>
        <w:rPr>
          <w:rFonts w:ascii="Arial" w:eastAsiaTheme="minorHAnsi" w:hAnsi="Arial" w:cs="Arial"/>
          <w:color w:val="2E74B5" w:themeColor="accent1" w:themeShade="BF"/>
          <w:lang w:eastAsia="en-US"/>
        </w:rPr>
      </w:pPr>
    </w:p>
    <w:p w14:paraId="499F0D5D" w14:textId="5D4A1BC5" w:rsidR="00EA7386" w:rsidRPr="00EA7386" w:rsidRDefault="0011324A" w:rsidP="00EA7386">
      <w:pPr>
        <w:pStyle w:val="NormalWeb"/>
        <w:jc w:val="both"/>
        <w:divId w:val="2063944336"/>
        <w:rPr>
          <w:rFonts w:ascii="Arial" w:eastAsiaTheme="minorHAnsi" w:hAnsi="Arial" w:cs="Arial"/>
          <w:color w:val="2E74B5" w:themeColor="accent1" w:themeShade="BF"/>
          <w:lang w:eastAsia="en-US"/>
        </w:rPr>
      </w:pPr>
      <w:r>
        <w:rPr>
          <w:rFonts w:ascii="Arial" w:eastAsiaTheme="minorHAnsi" w:hAnsi="Arial" w:cs="Arial"/>
          <w:color w:val="2E74B5" w:themeColor="accent1" w:themeShade="BF"/>
          <w:lang w:eastAsia="en-US"/>
        </w:rPr>
        <w:t>Segmento equipo de ventas</w:t>
      </w:r>
    </w:p>
    <w:tbl>
      <w:tblPr>
        <w:tblW w:w="4855" w:type="pct"/>
        <w:tblLayout w:type="fixed"/>
        <w:tblCellMar>
          <w:left w:w="70" w:type="dxa"/>
          <w:right w:w="70" w:type="dxa"/>
        </w:tblCellMar>
        <w:tblLook w:val="04A0" w:firstRow="1" w:lastRow="0" w:firstColumn="1" w:lastColumn="0" w:noHBand="0" w:noVBand="1"/>
      </w:tblPr>
      <w:tblGrid>
        <w:gridCol w:w="1426"/>
        <w:gridCol w:w="2755"/>
        <w:gridCol w:w="1984"/>
        <w:gridCol w:w="2553"/>
      </w:tblGrid>
      <w:tr w:rsidR="00EA7386" w:rsidRPr="00140DAA" w14:paraId="46B98E18" w14:textId="77777777" w:rsidTr="00EA7386">
        <w:trPr>
          <w:divId w:val="2063944336"/>
          <w:trHeight w:val="500"/>
        </w:trPr>
        <w:tc>
          <w:tcPr>
            <w:tcW w:w="818"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5E522E00" w14:textId="77777777" w:rsidR="00EA7386" w:rsidRPr="00140DAA" w:rsidRDefault="00EA7386" w:rsidP="004116AA">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Categoría orientadora</w:t>
            </w:r>
          </w:p>
        </w:tc>
        <w:tc>
          <w:tcPr>
            <w:tcW w:w="1580" w:type="pct"/>
            <w:tcBorders>
              <w:top w:val="single" w:sz="4" w:space="0" w:color="auto"/>
              <w:left w:val="nil"/>
              <w:bottom w:val="single" w:sz="4" w:space="0" w:color="auto"/>
              <w:right w:val="single" w:sz="4" w:space="0" w:color="auto"/>
            </w:tcBorders>
            <w:shd w:val="clear" w:color="000000" w:fill="DCE6F1"/>
            <w:noWrap/>
            <w:vAlign w:val="bottom"/>
            <w:hideMark/>
          </w:tcPr>
          <w:p w14:paraId="11BBA6E2" w14:textId="77777777" w:rsidR="00EA7386" w:rsidRPr="00140DAA" w:rsidRDefault="00EA7386" w:rsidP="004116AA">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Definición</w:t>
            </w:r>
          </w:p>
        </w:tc>
        <w:tc>
          <w:tcPr>
            <w:tcW w:w="1138" w:type="pct"/>
            <w:tcBorders>
              <w:top w:val="single" w:sz="4" w:space="0" w:color="auto"/>
              <w:left w:val="nil"/>
              <w:bottom w:val="single" w:sz="4" w:space="0" w:color="auto"/>
              <w:right w:val="single" w:sz="4" w:space="0" w:color="auto"/>
            </w:tcBorders>
            <w:shd w:val="clear" w:color="000000" w:fill="DCE6F1"/>
            <w:noWrap/>
            <w:vAlign w:val="bottom"/>
            <w:hideMark/>
          </w:tcPr>
          <w:p w14:paraId="66FDE50C" w14:textId="77777777" w:rsidR="00EA7386" w:rsidRPr="00140DAA" w:rsidRDefault="00EA7386" w:rsidP="004116AA">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Ejes de indagación</w:t>
            </w:r>
          </w:p>
        </w:tc>
        <w:tc>
          <w:tcPr>
            <w:tcW w:w="1464" w:type="pct"/>
            <w:tcBorders>
              <w:top w:val="single" w:sz="4" w:space="0" w:color="auto"/>
              <w:left w:val="nil"/>
              <w:bottom w:val="single" w:sz="4" w:space="0" w:color="auto"/>
              <w:right w:val="single" w:sz="4" w:space="0" w:color="auto"/>
            </w:tcBorders>
            <w:shd w:val="clear" w:color="000000" w:fill="DCE6F1"/>
            <w:noWrap/>
            <w:vAlign w:val="bottom"/>
            <w:hideMark/>
          </w:tcPr>
          <w:p w14:paraId="3548D8FF" w14:textId="77777777" w:rsidR="00EA7386" w:rsidRPr="00140DAA" w:rsidRDefault="00EA7386" w:rsidP="004116AA">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Pregunta</w:t>
            </w:r>
          </w:p>
        </w:tc>
      </w:tr>
      <w:tr w:rsidR="00EA7386" w:rsidRPr="00140DAA" w14:paraId="2ACB70AB" w14:textId="77777777" w:rsidTr="00EA7386">
        <w:trPr>
          <w:divId w:val="2063944336"/>
          <w:trHeight w:val="980"/>
        </w:trPr>
        <w:tc>
          <w:tcPr>
            <w:tcW w:w="818" w:type="pct"/>
            <w:tcBorders>
              <w:top w:val="nil"/>
              <w:left w:val="single" w:sz="4" w:space="0" w:color="auto"/>
              <w:bottom w:val="single" w:sz="4" w:space="0" w:color="auto"/>
              <w:right w:val="single" w:sz="4" w:space="0" w:color="auto"/>
            </w:tcBorders>
            <w:shd w:val="clear" w:color="000000" w:fill="DCE6F1"/>
            <w:noWrap/>
            <w:vAlign w:val="center"/>
            <w:hideMark/>
          </w:tcPr>
          <w:p w14:paraId="578D184B" w14:textId="77777777" w:rsidR="00EA7386" w:rsidRPr="00140DAA" w:rsidRDefault="00EA7386" w:rsidP="004116AA">
            <w:pPr>
              <w:spacing w:after="0" w:line="240" w:lineRule="auto"/>
              <w:jc w:val="center"/>
              <w:rPr>
                <w:rFonts w:ascii="Calibri" w:eastAsia="Times New Roman" w:hAnsi="Calibri" w:cs="Times New Roman"/>
                <w:b/>
                <w:bCs/>
                <w:color w:val="000000"/>
                <w:sz w:val="16"/>
                <w:szCs w:val="20"/>
                <w:lang w:eastAsia="es-ES"/>
              </w:rPr>
            </w:pPr>
            <w:r w:rsidRPr="00140DAA">
              <w:rPr>
                <w:rFonts w:ascii="Calibri" w:eastAsia="Times New Roman" w:hAnsi="Calibri" w:cs="Times New Roman"/>
                <w:b/>
                <w:bCs/>
                <w:color w:val="000000"/>
                <w:sz w:val="16"/>
                <w:szCs w:val="20"/>
                <w:lang w:eastAsia="es-ES"/>
              </w:rPr>
              <w:t>Percepción</w:t>
            </w:r>
          </w:p>
        </w:tc>
        <w:tc>
          <w:tcPr>
            <w:tcW w:w="1580" w:type="pct"/>
            <w:tcBorders>
              <w:top w:val="nil"/>
              <w:left w:val="nil"/>
              <w:bottom w:val="single" w:sz="4" w:space="0" w:color="auto"/>
              <w:right w:val="single" w:sz="4" w:space="0" w:color="auto"/>
            </w:tcBorders>
            <w:shd w:val="clear" w:color="auto" w:fill="auto"/>
            <w:vAlign w:val="center"/>
            <w:hideMark/>
          </w:tcPr>
          <w:p w14:paraId="5AE9CC76" w14:textId="77777777" w:rsidR="00EA7386" w:rsidRPr="00140DAA" w:rsidRDefault="00EA7386" w:rsidP="004116AA">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"la percepción no es un añadido de eventos a experiencias pasadas sino una constante construcción de significados en el espacio y en el tiempo." Merleau-Ponty (1975)</w:t>
            </w:r>
          </w:p>
        </w:tc>
        <w:tc>
          <w:tcPr>
            <w:tcW w:w="1138" w:type="pct"/>
            <w:tcBorders>
              <w:top w:val="nil"/>
              <w:left w:val="nil"/>
              <w:bottom w:val="single" w:sz="4" w:space="0" w:color="auto"/>
              <w:right w:val="single" w:sz="4" w:space="0" w:color="auto"/>
            </w:tcBorders>
            <w:shd w:val="clear" w:color="auto" w:fill="auto"/>
            <w:vAlign w:val="center"/>
            <w:hideMark/>
          </w:tcPr>
          <w:p w14:paraId="5655B530" w14:textId="77777777" w:rsidR="00EA7386" w:rsidRPr="00140DAA" w:rsidRDefault="00EA7386" w:rsidP="004116AA">
            <w:pPr>
              <w:spacing w:after="0" w:line="240" w:lineRule="auto"/>
              <w:rPr>
                <w:rFonts w:ascii="Calibri" w:eastAsia="Times New Roman" w:hAnsi="Calibri" w:cs="Times New Roman"/>
                <w:color w:val="000000"/>
                <w:sz w:val="16"/>
                <w:szCs w:val="20"/>
                <w:lang w:eastAsia="es-ES"/>
              </w:rPr>
            </w:pPr>
            <w:r w:rsidRPr="00140DAA">
              <w:rPr>
                <w:rFonts w:ascii="Calibri" w:eastAsia="Times New Roman" w:hAnsi="Calibri" w:cs="Times New Roman"/>
                <w:color w:val="000000"/>
                <w:sz w:val="16"/>
                <w:szCs w:val="20"/>
                <w:lang w:eastAsia="es-ES"/>
              </w:rPr>
              <w:t>Experiencias - construcción de significado - espacio - tiempo</w:t>
            </w:r>
          </w:p>
        </w:tc>
        <w:tc>
          <w:tcPr>
            <w:tcW w:w="1464" w:type="pct"/>
            <w:tcBorders>
              <w:top w:val="nil"/>
              <w:left w:val="nil"/>
              <w:bottom w:val="single" w:sz="4" w:space="0" w:color="auto"/>
              <w:right w:val="single" w:sz="4" w:space="0" w:color="auto"/>
            </w:tcBorders>
            <w:shd w:val="clear" w:color="auto" w:fill="auto"/>
            <w:vAlign w:val="center"/>
            <w:hideMark/>
          </w:tcPr>
          <w:p w14:paraId="07FDA046" w14:textId="77777777" w:rsidR="00EA7386" w:rsidRDefault="00EA7386" w:rsidP="004116AA">
            <w:pPr>
              <w:spacing w:after="0" w:line="240" w:lineRule="auto"/>
              <w:rPr>
                <w:rFonts w:ascii="Calibri" w:eastAsia="Times New Roman" w:hAnsi="Calibri" w:cs="Times New Roman"/>
                <w:color w:val="000000"/>
                <w:sz w:val="16"/>
                <w:szCs w:val="20"/>
                <w:lang w:eastAsia="es-ES"/>
              </w:rPr>
            </w:pPr>
          </w:p>
          <w:p w14:paraId="2CDDAEA6" w14:textId="5AD08B53" w:rsidR="00EA7386" w:rsidRDefault="00EA7386" w:rsidP="004116AA">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¿El conocimiento del cliente y su participación en el levantamiento de información para la solución de seguridad, le ayuda estructurar la mejor alternativa?</w:t>
            </w:r>
          </w:p>
          <w:p w14:paraId="4F81DBFD" w14:textId="77777777" w:rsidR="00EA7386" w:rsidRDefault="00EA7386" w:rsidP="004116AA">
            <w:pPr>
              <w:spacing w:after="0" w:line="240" w:lineRule="auto"/>
              <w:rPr>
                <w:rFonts w:ascii="Calibri" w:eastAsia="Times New Roman" w:hAnsi="Calibri" w:cs="Times New Roman"/>
                <w:color w:val="000000"/>
                <w:sz w:val="16"/>
                <w:szCs w:val="20"/>
                <w:lang w:eastAsia="es-ES"/>
              </w:rPr>
            </w:pPr>
          </w:p>
          <w:p w14:paraId="115874A0" w14:textId="06C691F5" w:rsidR="00EA7386" w:rsidRDefault="00EA7386" w:rsidP="004116AA">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 xml:space="preserve">¿Tiene en cuenta las sugerencias del cliente al estructurar o replantear una solución de seguridad? </w:t>
            </w:r>
          </w:p>
          <w:p w14:paraId="601F3F6B" w14:textId="77777777" w:rsidR="00EA7386" w:rsidRDefault="00EA7386" w:rsidP="004116AA">
            <w:pPr>
              <w:spacing w:after="0" w:line="240" w:lineRule="auto"/>
              <w:rPr>
                <w:rFonts w:ascii="Calibri" w:eastAsia="Times New Roman" w:hAnsi="Calibri" w:cs="Times New Roman"/>
                <w:color w:val="000000"/>
                <w:sz w:val="16"/>
                <w:szCs w:val="20"/>
                <w:lang w:eastAsia="es-ES"/>
              </w:rPr>
            </w:pPr>
          </w:p>
          <w:p w14:paraId="43E15B67" w14:textId="4CD29F89" w:rsidR="00EA7386" w:rsidRDefault="00EA7386" w:rsidP="004116AA">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Considera que esto ayuda a que se le preste un mejor servicio al cliente?</w:t>
            </w:r>
          </w:p>
          <w:p w14:paraId="473F19E5" w14:textId="77777777" w:rsidR="00EA7386" w:rsidRDefault="00EA7386" w:rsidP="004116AA">
            <w:pPr>
              <w:spacing w:after="0" w:line="240" w:lineRule="auto"/>
              <w:rPr>
                <w:rFonts w:ascii="Calibri" w:eastAsia="Times New Roman" w:hAnsi="Calibri" w:cs="Times New Roman"/>
                <w:color w:val="000000"/>
                <w:sz w:val="16"/>
                <w:szCs w:val="20"/>
                <w:lang w:eastAsia="es-ES"/>
              </w:rPr>
            </w:pPr>
          </w:p>
          <w:p w14:paraId="5AD138D6" w14:textId="03310566" w:rsidR="00EA7386" w:rsidRDefault="00EA7386" w:rsidP="004116AA">
            <w:pPr>
              <w:spacing w:after="0" w:line="240" w:lineRule="auto"/>
              <w:rPr>
                <w:rFonts w:ascii="Calibri" w:eastAsia="Times New Roman" w:hAnsi="Calibri" w:cs="Times New Roman"/>
                <w:color w:val="000000"/>
                <w:sz w:val="16"/>
                <w:szCs w:val="20"/>
                <w:lang w:eastAsia="es-ES"/>
              </w:rPr>
            </w:pPr>
            <w:r>
              <w:rPr>
                <w:rFonts w:ascii="Calibri" w:eastAsia="Times New Roman" w:hAnsi="Calibri" w:cs="Times New Roman"/>
                <w:color w:val="000000"/>
                <w:sz w:val="16"/>
                <w:szCs w:val="20"/>
                <w:lang w:eastAsia="es-ES"/>
              </w:rPr>
              <w:t>¿Ha tenido casos en los que el cliente es creador de un servicio que no haya surgido previamente en su empresa?</w:t>
            </w:r>
          </w:p>
          <w:p w14:paraId="5A8B3DB7" w14:textId="77777777" w:rsidR="00EA7386" w:rsidRPr="00140DAA" w:rsidRDefault="00EA7386" w:rsidP="00EA7386">
            <w:pPr>
              <w:spacing w:after="0" w:line="240" w:lineRule="auto"/>
              <w:rPr>
                <w:rFonts w:ascii="Calibri" w:eastAsia="Times New Roman" w:hAnsi="Calibri" w:cs="Times New Roman"/>
                <w:color w:val="000000"/>
                <w:sz w:val="16"/>
                <w:szCs w:val="20"/>
                <w:lang w:eastAsia="es-ES"/>
              </w:rPr>
            </w:pPr>
          </w:p>
        </w:tc>
      </w:tr>
    </w:tbl>
    <w:p w14:paraId="75D08731" w14:textId="77777777" w:rsidR="00EA7386" w:rsidRDefault="00EA7386" w:rsidP="00EA7386">
      <w:pPr>
        <w:jc w:val="both"/>
        <w:divId w:val="2063944336"/>
        <w:rPr>
          <w:rFonts w:ascii="Arial" w:hAnsi="Arial" w:cs="Arial"/>
          <w:color w:val="2E74B5" w:themeColor="accent1" w:themeShade="BF"/>
          <w:sz w:val="24"/>
          <w:szCs w:val="24"/>
        </w:rPr>
      </w:pPr>
    </w:p>
    <w:p w14:paraId="56BFE916" w14:textId="6338AE55" w:rsidR="0011324A" w:rsidRPr="0011324A" w:rsidRDefault="0011324A" w:rsidP="0011324A">
      <w:pPr>
        <w:jc w:val="both"/>
        <w:rPr>
          <w:rFonts w:ascii="Arial" w:hAnsi="Arial" w:cs="Arial"/>
          <w:b/>
          <w:color w:val="2E74B5" w:themeColor="accent1" w:themeShade="BF"/>
          <w:sz w:val="24"/>
          <w:szCs w:val="24"/>
          <w:u w:val="single"/>
        </w:rPr>
      </w:pPr>
      <w:r w:rsidRPr="0011324A">
        <w:rPr>
          <w:rFonts w:ascii="Arial" w:hAnsi="Arial" w:cs="Arial"/>
          <w:b/>
          <w:color w:val="2E74B5" w:themeColor="accent1" w:themeShade="BF"/>
          <w:sz w:val="24"/>
          <w:szCs w:val="24"/>
          <w:u w:val="single"/>
        </w:rPr>
        <w:t>Tecnicas para la recolección de datos</w:t>
      </w:r>
    </w:p>
    <w:p w14:paraId="3DD747E6" w14:textId="63868FD3" w:rsidR="00EA7386" w:rsidRDefault="00EA7386" w:rsidP="00EA7386">
      <w:pPr>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Las técnicas a utilizar en la ejecución metodológica son las asociadas a la investigación cualitativa exploratoria como entrevistas directas, grupos de discusión, observación no participativa y técnicas proyectivas. Se planea utilizar la técnica correcta para cada segmento de la muestra, teniendo en cuenta la diversidad de los representantes de la población</w:t>
      </w:r>
      <w:r w:rsidR="004116AA">
        <w:rPr>
          <w:rFonts w:ascii="Arial" w:hAnsi="Arial" w:cs="Arial"/>
          <w:color w:val="2E74B5" w:themeColor="accent1" w:themeShade="BF"/>
          <w:sz w:val="24"/>
          <w:szCs w:val="24"/>
        </w:rPr>
        <w:t xml:space="preserve"> </w:t>
      </w:r>
      <w:r w:rsidR="004116AA">
        <w:rPr>
          <w:rFonts w:ascii="Arial" w:hAnsi="Arial" w:cs="Arial"/>
          <w:color w:val="2E74B5" w:themeColor="accent1" w:themeShade="BF"/>
          <w:sz w:val="24"/>
          <w:szCs w:val="24"/>
        </w:rPr>
        <w:fldChar w:fldCharType="begin" w:fldLock="1"/>
      </w:r>
      <w:r w:rsidR="004116AA">
        <w:rPr>
          <w:rFonts w:ascii="Arial" w:hAnsi="Arial" w:cs="Arial"/>
          <w:color w:val="2E74B5" w:themeColor="accent1" w:themeShade="BF"/>
          <w:sz w:val="24"/>
          <w:szCs w:val="24"/>
        </w:rPr>
        <w:instrText>ADDIN CSL_CITATION { "citationItems" : [ { "id" : "ITEM-1", "itemData" : { "ISBN" : "9589329098", "author" : [ { "dropping-particle" : "", "family" : "Casilimas", "given" : "Carlos A Sandoval", "non-dropping-particle" : "", "parse-names" : false, "suffix" : "" }, { "dropping-particle" : "", "family" : "Colombiano", "given" : "Instituto", "non-dropping-particle" : "", "parse-names" : false, "suffix" : "" }, { "dropping-particle" : "", "family" : "El", "given" : "Para", "non-dropping-particle" : "", "parse-names" : false, "suffix" : "" } ], "id" : "ITEM-1", "issued" : { "date-parts" : [ [ "0" ] ] }, "title" : "Investigaci\u00f3n cualitativa", "type" : "book" }, "uris" : [ "http://www.mendeley.com/documents/?uuid=9f67e15e-99ee-491d-969f-2440c90b72c9" ] } ], "mendeley" : { "formattedCitation" : "(Casilimas, Colombiano, &amp; El, n.d.)", "plainTextFormattedCitation" : "(Casilimas, Colombiano, &amp; El, n.d.)" }, "properties" : { "noteIndex" : 0 }, "schema" : "https://github.com/citation-style-language/schema/raw/master/csl-citation.json" }</w:instrText>
      </w:r>
      <w:r w:rsidR="004116AA">
        <w:rPr>
          <w:rFonts w:ascii="Arial" w:hAnsi="Arial" w:cs="Arial"/>
          <w:color w:val="2E74B5" w:themeColor="accent1" w:themeShade="BF"/>
          <w:sz w:val="24"/>
          <w:szCs w:val="24"/>
        </w:rPr>
        <w:fldChar w:fldCharType="separate"/>
      </w:r>
      <w:r w:rsidR="004116AA" w:rsidRPr="004116AA">
        <w:rPr>
          <w:rFonts w:ascii="Arial" w:hAnsi="Arial" w:cs="Arial"/>
          <w:noProof/>
          <w:color w:val="2E74B5" w:themeColor="accent1" w:themeShade="BF"/>
          <w:sz w:val="24"/>
          <w:szCs w:val="24"/>
        </w:rPr>
        <w:t>(Casilimas, Colombiano, &amp; El, n.d.)</w:t>
      </w:r>
      <w:r w:rsidR="004116AA">
        <w:rPr>
          <w:rFonts w:ascii="Arial" w:hAnsi="Arial" w:cs="Arial"/>
          <w:color w:val="2E74B5" w:themeColor="accent1" w:themeShade="BF"/>
          <w:sz w:val="24"/>
          <w:szCs w:val="24"/>
        </w:rPr>
        <w:fldChar w:fldCharType="end"/>
      </w:r>
      <w:r>
        <w:rPr>
          <w:rFonts w:ascii="Arial" w:hAnsi="Arial" w:cs="Arial"/>
          <w:color w:val="2E74B5" w:themeColor="accent1" w:themeShade="BF"/>
          <w:sz w:val="24"/>
          <w:szCs w:val="24"/>
        </w:rPr>
        <w:t xml:space="preserve">. Esto nos permitirá obtener información más detallada acerca de la percepción que existe para cada uno de los servicios que presta actualmente este sector en Colombia.  </w:t>
      </w:r>
    </w:p>
    <w:p w14:paraId="28D17885" w14:textId="00E63AA8" w:rsidR="00EA7386" w:rsidRPr="0011324A" w:rsidRDefault="0011324A" w:rsidP="0011324A">
      <w:pPr>
        <w:pStyle w:val="NormalWeb"/>
        <w:jc w:val="both"/>
        <w:divId w:val="2063944336"/>
        <w:rPr>
          <w:rFonts w:ascii="Arial" w:eastAsiaTheme="minorHAnsi" w:hAnsi="Arial" w:cs="Arial"/>
          <w:color w:val="2E74B5" w:themeColor="accent1" w:themeShade="BF"/>
          <w:lang w:eastAsia="en-US"/>
        </w:rPr>
      </w:pPr>
      <w:r w:rsidRPr="0011324A">
        <w:rPr>
          <w:rFonts w:ascii="Arial" w:eastAsiaTheme="minorHAnsi" w:hAnsi="Arial" w:cs="Arial"/>
          <w:color w:val="2E74B5" w:themeColor="accent1" w:themeShade="BF"/>
          <w:lang w:eastAsia="en-US"/>
        </w:rPr>
        <w:t xml:space="preserve">Se propone iniciar con una fase de observación no participativa para validar el enfoque de las preguntas aquí planteadas </w:t>
      </w:r>
      <w:r w:rsidR="004116AA">
        <w:rPr>
          <w:rFonts w:ascii="Arial" w:eastAsiaTheme="minorHAnsi" w:hAnsi="Arial" w:cs="Arial"/>
          <w:color w:val="2E74B5" w:themeColor="accent1" w:themeShade="BF"/>
          <w:lang w:eastAsia="en-US"/>
        </w:rPr>
        <w:t xml:space="preserve">con una muestra de diez cuentas del </w:t>
      </w:r>
      <w:r w:rsidRPr="0011324A">
        <w:rPr>
          <w:rFonts w:ascii="Arial" w:eastAsiaTheme="minorHAnsi" w:hAnsi="Arial" w:cs="Arial"/>
          <w:color w:val="2E74B5" w:themeColor="accent1" w:themeShade="BF"/>
          <w:lang w:eastAsia="en-US"/>
        </w:rPr>
        <w:lastRenderedPageBreak/>
        <w:t>segmento Clientes</w:t>
      </w:r>
      <w:r w:rsidR="004116AA">
        <w:rPr>
          <w:rFonts w:ascii="Arial" w:eastAsiaTheme="minorHAnsi" w:hAnsi="Arial" w:cs="Arial"/>
          <w:color w:val="2E74B5" w:themeColor="accent1" w:themeShade="BF"/>
          <w:lang w:eastAsia="en-US"/>
        </w:rPr>
        <w:t>; cinco de vigilancia humana y cinco de transporte de valores</w:t>
      </w:r>
      <w:r w:rsidRPr="0011324A">
        <w:rPr>
          <w:rFonts w:ascii="Arial" w:eastAsiaTheme="minorHAnsi" w:hAnsi="Arial" w:cs="Arial"/>
          <w:color w:val="2E74B5" w:themeColor="accent1" w:themeShade="BF"/>
          <w:lang w:eastAsia="en-US"/>
        </w:rPr>
        <w:t xml:space="preserve">. Posteriormente continuar con grupos de discusión con el segmento equipo de ventas y finalmente, abordar </w:t>
      </w:r>
      <w:r>
        <w:rPr>
          <w:rFonts w:ascii="Arial" w:eastAsiaTheme="minorHAnsi" w:hAnsi="Arial" w:cs="Arial"/>
          <w:color w:val="2E74B5" w:themeColor="accent1" w:themeShade="BF"/>
          <w:lang w:eastAsia="en-US"/>
        </w:rPr>
        <w:t xml:space="preserve">nuevamente </w:t>
      </w:r>
      <w:r w:rsidRPr="0011324A">
        <w:rPr>
          <w:rFonts w:ascii="Arial" w:eastAsiaTheme="minorHAnsi" w:hAnsi="Arial" w:cs="Arial"/>
          <w:color w:val="2E74B5" w:themeColor="accent1" w:themeShade="BF"/>
          <w:lang w:eastAsia="en-US"/>
        </w:rPr>
        <w:t xml:space="preserve">al segmento principal Clientes, </w:t>
      </w:r>
      <w:r>
        <w:rPr>
          <w:rFonts w:ascii="Arial" w:eastAsiaTheme="minorHAnsi" w:hAnsi="Arial" w:cs="Arial"/>
          <w:color w:val="2E74B5" w:themeColor="accent1" w:themeShade="BF"/>
          <w:lang w:eastAsia="en-US"/>
        </w:rPr>
        <w:t xml:space="preserve">esta vez </w:t>
      </w:r>
      <w:r w:rsidRPr="0011324A">
        <w:rPr>
          <w:rFonts w:ascii="Arial" w:eastAsiaTheme="minorHAnsi" w:hAnsi="Arial" w:cs="Arial"/>
          <w:color w:val="2E74B5" w:themeColor="accent1" w:themeShade="BF"/>
          <w:lang w:eastAsia="en-US"/>
        </w:rPr>
        <w:t>a través de entrevistas a profundidad.</w:t>
      </w:r>
    </w:p>
    <w:p w14:paraId="20450544" w14:textId="77777777" w:rsidR="00EA7386" w:rsidRDefault="00EA7386" w:rsidP="00BF30F7">
      <w:pPr>
        <w:pStyle w:val="NormalWeb"/>
        <w:divId w:val="2063944336"/>
        <w:rPr>
          <w:rFonts w:ascii="Arial" w:hAnsi="Arial" w:cs="Arial"/>
          <w:b/>
        </w:rPr>
      </w:pPr>
    </w:p>
    <w:p w14:paraId="1B64E3E6" w14:textId="77777777" w:rsidR="00365855" w:rsidRDefault="00365855" w:rsidP="00BF30F7">
      <w:pPr>
        <w:pStyle w:val="NormalWeb"/>
        <w:divId w:val="2063944336"/>
        <w:rPr>
          <w:rFonts w:ascii="Arial" w:hAnsi="Arial" w:cs="Arial"/>
          <w:b/>
        </w:rPr>
      </w:pPr>
    </w:p>
    <w:p w14:paraId="0887B01F" w14:textId="77777777" w:rsidR="00365855" w:rsidRDefault="00365855" w:rsidP="00BF30F7">
      <w:pPr>
        <w:pStyle w:val="NormalWeb"/>
        <w:divId w:val="2063944336"/>
        <w:rPr>
          <w:rFonts w:ascii="Arial" w:hAnsi="Arial" w:cs="Arial"/>
          <w:b/>
        </w:rPr>
      </w:pPr>
    </w:p>
    <w:p w14:paraId="5F7CBAFD" w14:textId="1959EDA0" w:rsidR="00774EB3" w:rsidRPr="00774EB3" w:rsidRDefault="00774EB3" w:rsidP="00865EBE">
      <w:pPr>
        <w:widowControl w:val="0"/>
        <w:autoSpaceDE w:val="0"/>
        <w:autoSpaceDN w:val="0"/>
        <w:adjustRightInd w:val="0"/>
        <w:spacing w:before="100" w:after="100" w:line="240" w:lineRule="auto"/>
        <w:ind w:left="480" w:hanging="480"/>
        <w:rPr>
          <w:rFonts w:ascii="Arial" w:hAnsi="Arial" w:cs="Arial"/>
          <w:b/>
        </w:rPr>
      </w:pPr>
      <w:r w:rsidRPr="00774EB3">
        <w:rPr>
          <w:rFonts w:ascii="Arial" w:hAnsi="Arial" w:cs="Arial"/>
          <w:b/>
        </w:rPr>
        <w:t>REFERENCIAS</w:t>
      </w:r>
    </w:p>
    <w:p w14:paraId="7E75F0D6" w14:textId="02C23290" w:rsidR="004116AA" w:rsidRPr="004116AA" w:rsidRDefault="00774EB3" w:rsidP="004116AA">
      <w:pPr>
        <w:widowControl w:val="0"/>
        <w:autoSpaceDE w:val="0"/>
        <w:autoSpaceDN w:val="0"/>
        <w:adjustRightInd w:val="0"/>
        <w:spacing w:line="240" w:lineRule="auto"/>
        <w:ind w:left="480" w:hanging="480"/>
        <w:rPr>
          <w:rFonts w:ascii="Arial" w:hAnsi="Arial"/>
          <w:noProof/>
          <w:sz w:val="24"/>
          <w:szCs w:val="24"/>
          <w:lang w:val="es-ES"/>
        </w:rPr>
      </w:pPr>
      <w:r w:rsidRPr="00D738E8">
        <w:rPr>
          <w:rFonts w:ascii="Arial" w:hAnsi="Arial" w:cs="Arial"/>
          <w:color w:val="358ADB"/>
        </w:rPr>
        <w:fldChar w:fldCharType="begin" w:fldLock="1"/>
      </w:r>
      <w:r w:rsidRPr="00D738E8">
        <w:rPr>
          <w:rFonts w:ascii="Arial" w:hAnsi="Arial" w:cs="Arial"/>
          <w:color w:val="358ADB"/>
        </w:rPr>
        <w:instrText xml:space="preserve">ADDIN Mendeley Bibliography CSL_BIBLIOGRAPHY </w:instrText>
      </w:r>
      <w:r w:rsidRPr="00D738E8">
        <w:rPr>
          <w:rFonts w:ascii="Arial" w:hAnsi="Arial" w:cs="Arial"/>
          <w:color w:val="358ADB"/>
        </w:rPr>
        <w:fldChar w:fldCharType="separate"/>
      </w:r>
      <w:r w:rsidR="004116AA" w:rsidRPr="004116AA">
        <w:rPr>
          <w:rFonts w:ascii="Arial" w:hAnsi="Arial"/>
          <w:noProof/>
          <w:sz w:val="24"/>
          <w:szCs w:val="24"/>
          <w:lang w:val="es-ES"/>
        </w:rPr>
        <w:t xml:space="preserve">Casilimas, C. A. S., Colombiano, I., &amp; El, P. (n.d.). </w:t>
      </w:r>
      <w:r w:rsidR="004116AA" w:rsidRPr="004116AA">
        <w:rPr>
          <w:rFonts w:ascii="Arial" w:hAnsi="Arial"/>
          <w:i/>
          <w:iCs/>
          <w:noProof/>
          <w:sz w:val="24"/>
          <w:szCs w:val="24"/>
          <w:lang w:val="es-ES"/>
        </w:rPr>
        <w:t>Investigación cualitativa</w:t>
      </w:r>
      <w:r w:rsidR="004116AA" w:rsidRPr="004116AA">
        <w:rPr>
          <w:rFonts w:ascii="Arial" w:hAnsi="Arial"/>
          <w:noProof/>
          <w:sz w:val="24"/>
          <w:szCs w:val="24"/>
          <w:lang w:val="es-ES"/>
        </w:rPr>
        <w:t>.</w:t>
      </w:r>
    </w:p>
    <w:p w14:paraId="0DA546E5"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szCs w:val="24"/>
          <w:lang w:val="es-ES"/>
        </w:rPr>
      </w:pPr>
      <w:r w:rsidRPr="004116AA">
        <w:rPr>
          <w:rFonts w:ascii="Arial" w:hAnsi="Arial"/>
          <w:noProof/>
          <w:sz w:val="24"/>
          <w:szCs w:val="24"/>
          <w:lang w:val="es-ES"/>
        </w:rPr>
        <w:t xml:space="preserve">Dinero, R. (2014). Crecimiento seguro. </w:t>
      </w:r>
      <w:r w:rsidRPr="004116AA">
        <w:rPr>
          <w:rFonts w:ascii="Arial" w:hAnsi="Arial"/>
          <w:i/>
          <w:iCs/>
          <w:noProof/>
          <w:sz w:val="24"/>
          <w:szCs w:val="24"/>
          <w:lang w:val="es-ES"/>
        </w:rPr>
        <w:t>Revista Dinero</w:t>
      </w:r>
      <w:r w:rsidRPr="004116AA">
        <w:rPr>
          <w:rFonts w:ascii="Arial" w:hAnsi="Arial"/>
          <w:noProof/>
          <w:sz w:val="24"/>
          <w:szCs w:val="24"/>
          <w:lang w:val="es-ES"/>
        </w:rPr>
        <w:t>. Retrieved from http://www.dinero.com/especiales-comerciales/seguridad/articulo/empresas-seguridad-privada-colombia/200127</w:t>
      </w:r>
    </w:p>
    <w:p w14:paraId="189D6A21"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szCs w:val="24"/>
          <w:lang w:val="es-ES"/>
        </w:rPr>
      </w:pPr>
      <w:r w:rsidRPr="004116AA">
        <w:rPr>
          <w:rFonts w:ascii="Arial" w:hAnsi="Arial"/>
          <w:noProof/>
          <w:sz w:val="24"/>
          <w:szCs w:val="24"/>
          <w:lang w:val="es-ES"/>
        </w:rPr>
        <w:t>Edelmira, C. (n.d.). La fenomenología interpretativa como alternativa apropiada para estudiar los fenómenos humanos.pdf. Retrieved from http://aprendeenlinea.udea.edu.co/revistas/index.php/iee/article/viewFile/16852/14591</w:t>
      </w:r>
    </w:p>
    <w:p w14:paraId="69FD2A89"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szCs w:val="24"/>
          <w:lang w:val="es-ES"/>
        </w:rPr>
      </w:pPr>
      <w:r w:rsidRPr="004116AA">
        <w:rPr>
          <w:rFonts w:ascii="Arial" w:hAnsi="Arial"/>
          <w:noProof/>
          <w:sz w:val="24"/>
          <w:szCs w:val="24"/>
          <w:lang w:val="es-ES"/>
        </w:rPr>
        <w:t xml:space="preserve">Gallarza, M. G., &amp; Gil Saura, I. (2006). Desarrollo de una escala multidimensional para medir el valor percibido de una experiencia de servicio. </w:t>
      </w:r>
      <w:r w:rsidRPr="004116AA">
        <w:rPr>
          <w:rFonts w:ascii="Arial" w:hAnsi="Arial"/>
          <w:i/>
          <w:iCs/>
          <w:noProof/>
          <w:sz w:val="24"/>
          <w:szCs w:val="24"/>
          <w:lang w:val="es-ES"/>
        </w:rPr>
        <w:t>Revista Española de Investigación de Marketing</w:t>
      </w:r>
      <w:r w:rsidRPr="004116AA">
        <w:rPr>
          <w:rFonts w:ascii="Arial" w:hAnsi="Arial"/>
          <w:noProof/>
          <w:sz w:val="24"/>
          <w:szCs w:val="24"/>
          <w:lang w:val="es-ES"/>
        </w:rPr>
        <w:t>, 25–59.</w:t>
      </w:r>
    </w:p>
    <w:p w14:paraId="3055AC9A"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4116AA">
        <w:rPr>
          <w:rFonts w:ascii="Arial" w:hAnsi="Arial"/>
          <w:noProof/>
          <w:sz w:val="24"/>
          <w:szCs w:val="24"/>
          <w:lang w:val="es-ES"/>
        </w:rPr>
        <w:t xml:space="preserve">Grönroos, C. (2008). Service logic revisited: Who creates value? </w:t>
      </w:r>
      <w:r w:rsidRPr="00BE071D">
        <w:rPr>
          <w:rFonts w:ascii="Arial" w:hAnsi="Arial"/>
          <w:noProof/>
          <w:sz w:val="24"/>
          <w:szCs w:val="24"/>
          <w:lang w:val="en-US"/>
        </w:rPr>
        <w:t xml:space="preserve">And who co-creates? </w:t>
      </w:r>
      <w:r w:rsidRPr="00BE071D">
        <w:rPr>
          <w:rFonts w:ascii="Arial" w:hAnsi="Arial"/>
          <w:i/>
          <w:iCs/>
          <w:noProof/>
          <w:sz w:val="24"/>
          <w:szCs w:val="24"/>
          <w:lang w:val="en-US"/>
        </w:rPr>
        <w:t>European Business Review</w:t>
      </w:r>
      <w:r w:rsidRPr="00BE071D">
        <w:rPr>
          <w:rFonts w:ascii="Arial" w:hAnsi="Arial"/>
          <w:noProof/>
          <w:sz w:val="24"/>
          <w:szCs w:val="24"/>
          <w:lang w:val="en-US"/>
        </w:rPr>
        <w:t xml:space="preserve">, </w:t>
      </w:r>
      <w:r w:rsidRPr="00BE071D">
        <w:rPr>
          <w:rFonts w:ascii="Arial" w:hAnsi="Arial"/>
          <w:i/>
          <w:iCs/>
          <w:noProof/>
          <w:sz w:val="24"/>
          <w:szCs w:val="24"/>
          <w:lang w:val="en-US"/>
        </w:rPr>
        <w:t>20</w:t>
      </w:r>
      <w:r w:rsidRPr="00BE071D">
        <w:rPr>
          <w:rFonts w:ascii="Arial" w:hAnsi="Arial"/>
          <w:noProof/>
          <w:sz w:val="24"/>
          <w:szCs w:val="24"/>
          <w:lang w:val="en-US"/>
        </w:rPr>
        <w:t>(4), 298–314. http://doi.org/10.1108/09555340810886585</w:t>
      </w:r>
    </w:p>
    <w:p w14:paraId="61CB59D3"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BE071D">
        <w:rPr>
          <w:rFonts w:ascii="Arial" w:hAnsi="Arial"/>
          <w:noProof/>
          <w:sz w:val="24"/>
          <w:szCs w:val="24"/>
          <w:lang w:val="en-US"/>
        </w:rPr>
        <w:t xml:space="preserve">Gummerus, J. (2013). Value creation processes and value outcomes in marketing theory: Strangers or siblings? </w:t>
      </w:r>
      <w:r w:rsidRPr="00BE071D">
        <w:rPr>
          <w:rFonts w:ascii="Arial" w:hAnsi="Arial"/>
          <w:i/>
          <w:iCs/>
          <w:noProof/>
          <w:sz w:val="24"/>
          <w:szCs w:val="24"/>
          <w:lang w:val="en-US"/>
        </w:rPr>
        <w:t>Marketing Theory</w:t>
      </w:r>
      <w:r w:rsidRPr="00BE071D">
        <w:rPr>
          <w:rFonts w:ascii="Arial" w:hAnsi="Arial"/>
          <w:noProof/>
          <w:sz w:val="24"/>
          <w:szCs w:val="24"/>
          <w:lang w:val="en-US"/>
        </w:rPr>
        <w:t xml:space="preserve">, </w:t>
      </w:r>
      <w:r w:rsidRPr="00BE071D">
        <w:rPr>
          <w:rFonts w:ascii="Arial" w:hAnsi="Arial"/>
          <w:i/>
          <w:iCs/>
          <w:noProof/>
          <w:sz w:val="24"/>
          <w:szCs w:val="24"/>
          <w:lang w:val="en-US"/>
        </w:rPr>
        <w:t>13</w:t>
      </w:r>
      <w:r w:rsidRPr="00BE071D">
        <w:rPr>
          <w:rFonts w:ascii="Arial" w:hAnsi="Arial"/>
          <w:noProof/>
          <w:sz w:val="24"/>
          <w:szCs w:val="24"/>
          <w:lang w:val="en-US"/>
        </w:rPr>
        <w:t>(1), 19–46. http://doi.org/10.1177/1470593112467267</w:t>
      </w:r>
    </w:p>
    <w:p w14:paraId="5141D13D"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BE071D">
        <w:rPr>
          <w:rFonts w:ascii="Arial" w:hAnsi="Arial"/>
          <w:noProof/>
          <w:sz w:val="24"/>
          <w:szCs w:val="24"/>
          <w:lang w:val="en-US"/>
        </w:rPr>
        <w:t xml:space="preserve">Helkkulla, Anu &amp; Pihlstrom, M. (2013). From Customer Perceived Value (PERVAL) to Value-in-Context Experience (VALCONEX). </w:t>
      </w:r>
      <w:r w:rsidRPr="00BE071D">
        <w:rPr>
          <w:rFonts w:ascii="Arial" w:hAnsi="Arial"/>
          <w:i/>
          <w:iCs/>
          <w:noProof/>
          <w:sz w:val="24"/>
          <w:szCs w:val="24"/>
          <w:lang w:val="en-US"/>
        </w:rPr>
        <w:t>Journal of Chemical Information and Modeling</w:t>
      </w:r>
      <w:r w:rsidRPr="00BE071D">
        <w:rPr>
          <w:rFonts w:ascii="Arial" w:hAnsi="Arial"/>
          <w:noProof/>
          <w:sz w:val="24"/>
          <w:szCs w:val="24"/>
          <w:lang w:val="en-US"/>
        </w:rPr>
        <w:t xml:space="preserve">, </w:t>
      </w:r>
      <w:r w:rsidRPr="00BE071D">
        <w:rPr>
          <w:rFonts w:ascii="Arial" w:hAnsi="Arial"/>
          <w:i/>
          <w:iCs/>
          <w:noProof/>
          <w:sz w:val="24"/>
          <w:szCs w:val="24"/>
          <w:lang w:val="en-US"/>
        </w:rPr>
        <w:t>53</w:t>
      </w:r>
      <w:r w:rsidRPr="00BE071D">
        <w:rPr>
          <w:rFonts w:ascii="Arial" w:hAnsi="Arial"/>
          <w:noProof/>
          <w:sz w:val="24"/>
          <w:szCs w:val="24"/>
          <w:lang w:val="en-US"/>
        </w:rPr>
        <w:t>, 1689–1699. http://doi.org/10.1017/CBO9781107415324.004</w:t>
      </w:r>
    </w:p>
    <w:p w14:paraId="6504E5FA"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BE071D">
        <w:rPr>
          <w:rFonts w:ascii="Arial" w:hAnsi="Arial"/>
          <w:noProof/>
          <w:sz w:val="24"/>
          <w:szCs w:val="24"/>
          <w:lang w:val="en-US"/>
        </w:rPr>
        <w:t>Jähi, M. (2011). Key drivers of customer value in business-to-business security guard services (Vol. 117, pp. 137–148). http://doi.org/10.2495/SAFE110131</w:t>
      </w:r>
    </w:p>
    <w:p w14:paraId="07F79957"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szCs w:val="24"/>
          <w:lang w:val="es-ES"/>
        </w:rPr>
      </w:pPr>
      <w:r w:rsidRPr="004116AA">
        <w:rPr>
          <w:rFonts w:ascii="Arial" w:hAnsi="Arial"/>
          <w:noProof/>
          <w:sz w:val="24"/>
          <w:szCs w:val="24"/>
          <w:lang w:val="es-ES"/>
        </w:rPr>
        <w:t xml:space="preserve">Martínez Rodríguez, J. (2011). Métodos de Investigación Cualitativa. </w:t>
      </w:r>
      <w:r w:rsidRPr="004116AA">
        <w:rPr>
          <w:rFonts w:ascii="Arial" w:hAnsi="Arial"/>
          <w:i/>
          <w:iCs/>
          <w:noProof/>
          <w:sz w:val="24"/>
          <w:szCs w:val="24"/>
          <w:lang w:val="es-ES"/>
        </w:rPr>
        <w:t>Revista de Investigación Silogismo</w:t>
      </w:r>
      <w:r w:rsidRPr="004116AA">
        <w:rPr>
          <w:rFonts w:ascii="Arial" w:hAnsi="Arial"/>
          <w:noProof/>
          <w:sz w:val="24"/>
          <w:szCs w:val="24"/>
          <w:lang w:val="es-ES"/>
        </w:rPr>
        <w:t xml:space="preserve">, </w:t>
      </w:r>
      <w:r w:rsidRPr="004116AA">
        <w:rPr>
          <w:rFonts w:ascii="Arial" w:hAnsi="Arial"/>
          <w:i/>
          <w:iCs/>
          <w:noProof/>
          <w:sz w:val="24"/>
          <w:szCs w:val="24"/>
          <w:lang w:val="es-ES"/>
        </w:rPr>
        <w:t>1</w:t>
      </w:r>
      <w:r w:rsidRPr="004116AA">
        <w:rPr>
          <w:rFonts w:ascii="Arial" w:hAnsi="Arial"/>
          <w:noProof/>
          <w:sz w:val="24"/>
          <w:szCs w:val="24"/>
          <w:lang w:val="es-ES"/>
        </w:rPr>
        <w:t>(08), 2–43. http://doi.org/10.5455/msm.2014.26.405-410</w:t>
      </w:r>
    </w:p>
    <w:p w14:paraId="40C25933"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4116AA">
        <w:rPr>
          <w:rFonts w:ascii="Arial" w:hAnsi="Arial"/>
          <w:noProof/>
          <w:sz w:val="24"/>
          <w:szCs w:val="24"/>
          <w:lang w:val="es-ES"/>
        </w:rPr>
        <w:t xml:space="preserve">Navarrete, J. M. (2004). Nuevos conceptos y campos de desarrollo, 277–299. </w:t>
      </w:r>
      <w:r w:rsidRPr="00BE071D">
        <w:rPr>
          <w:rFonts w:ascii="Arial" w:hAnsi="Arial"/>
          <w:noProof/>
          <w:sz w:val="24"/>
          <w:szCs w:val="24"/>
          <w:lang w:val="en-US"/>
        </w:rPr>
        <w:t xml:space="preserve">Retrieved from </w:t>
      </w:r>
      <w:r w:rsidRPr="00BE071D">
        <w:rPr>
          <w:rFonts w:ascii="Arial" w:hAnsi="Arial"/>
          <w:noProof/>
          <w:sz w:val="24"/>
          <w:szCs w:val="24"/>
          <w:lang w:val="en-US"/>
        </w:rPr>
        <w:lastRenderedPageBreak/>
        <w:t>http://revistasinvestigacion.unmsm.edu.pe/index.php/sociales/article/view/6928/6138</w:t>
      </w:r>
    </w:p>
    <w:p w14:paraId="7AE4D503"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szCs w:val="24"/>
          <w:lang w:val="es-ES"/>
        </w:rPr>
      </w:pPr>
      <w:r w:rsidRPr="004116AA">
        <w:rPr>
          <w:rFonts w:ascii="Arial" w:hAnsi="Arial"/>
          <w:noProof/>
          <w:sz w:val="24"/>
          <w:szCs w:val="24"/>
          <w:lang w:val="es-ES"/>
        </w:rPr>
        <w:t>Pinzón, J. C., &amp; Lozano, F. (2014). El Sector de Vigilancia y Seguridad Privada en Colombia : estadísticas y percepción .</w:t>
      </w:r>
    </w:p>
    <w:p w14:paraId="37CCCBFA"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BE071D">
        <w:rPr>
          <w:rFonts w:ascii="Arial" w:hAnsi="Arial"/>
          <w:noProof/>
          <w:sz w:val="24"/>
          <w:szCs w:val="24"/>
          <w:lang w:val="en-US"/>
        </w:rPr>
        <w:t xml:space="preserve">Skålén, P., Gummerus, J., von Koskull, C., &amp; Magnusson, P. R. (2014). Exploring value propositions and service innovation: a service-dominant logic study. </w:t>
      </w:r>
      <w:r w:rsidRPr="00BE071D">
        <w:rPr>
          <w:rFonts w:ascii="Arial" w:hAnsi="Arial"/>
          <w:i/>
          <w:iCs/>
          <w:noProof/>
          <w:sz w:val="24"/>
          <w:szCs w:val="24"/>
          <w:lang w:val="en-US"/>
        </w:rPr>
        <w:t>Journal of the Academy of Marketing Science</w:t>
      </w:r>
      <w:r w:rsidRPr="00BE071D">
        <w:rPr>
          <w:rFonts w:ascii="Arial" w:hAnsi="Arial"/>
          <w:noProof/>
          <w:sz w:val="24"/>
          <w:szCs w:val="24"/>
          <w:lang w:val="en-US"/>
        </w:rPr>
        <w:t>. http://doi.org/10.1007/s11747-013-0365-2</w:t>
      </w:r>
    </w:p>
    <w:p w14:paraId="46BA0146" w14:textId="77777777" w:rsidR="004116AA" w:rsidRPr="00BE071D" w:rsidRDefault="004116AA" w:rsidP="004116AA">
      <w:pPr>
        <w:widowControl w:val="0"/>
        <w:autoSpaceDE w:val="0"/>
        <w:autoSpaceDN w:val="0"/>
        <w:adjustRightInd w:val="0"/>
        <w:spacing w:line="240" w:lineRule="auto"/>
        <w:ind w:left="480" w:hanging="480"/>
        <w:rPr>
          <w:rFonts w:ascii="Arial" w:hAnsi="Arial"/>
          <w:noProof/>
          <w:sz w:val="24"/>
          <w:szCs w:val="24"/>
          <w:lang w:val="en-US"/>
        </w:rPr>
      </w:pPr>
      <w:r w:rsidRPr="00BE071D">
        <w:rPr>
          <w:rFonts w:ascii="Arial" w:hAnsi="Arial"/>
          <w:noProof/>
          <w:sz w:val="24"/>
          <w:szCs w:val="24"/>
          <w:lang w:val="en-US"/>
        </w:rPr>
        <w:t xml:space="preserve">Sweeney, J. C., &amp; Soutar, G. N. (2001). Consumer perceived value: The development of a multiple item scale. </w:t>
      </w:r>
      <w:r w:rsidRPr="00BE071D">
        <w:rPr>
          <w:rFonts w:ascii="Arial" w:hAnsi="Arial"/>
          <w:i/>
          <w:iCs/>
          <w:noProof/>
          <w:sz w:val="24"/>
          <w:szCs w:val="24"/>
          <w:lang w:val="en-US"/>
        </w:rPr>
        <w:t>Journal of Retailing</w:t>
      </w:r>
      <w:r w:rsidRPr="00BE071D">
        <w:rPr>
          <w:rFonts w:ascii="Arial" w:hAnsi="Arial"/>
          <w:noProof/>
          <w:sz w:val="24"/>
          <w:szCs w:val="24"/>
          <w:lang w:val="en-US"/>
        </w:rPr>
        <w:t xml:space="preserve">, </w:t>
      </w:r>
      <w:r w:rsidRPr="00BE071D">
        <w:rPr>
          <w:rFonts w:ascii="Arial" w:hAnsi="Arial"/>
          <w:i/>
          <w:iCs/>
          <w:noProof/>
          <w:sz w:val="24"/>
          <w:szCs w:val="24"/>
          <w:lang w:val="en-US"/>
        </w:rPr>
        <w:t>77</w:t>
      </w:r>
      <w:r w:rsidRPr="00BE071D">
        <w:rPr>
          <w:rFonts w:ascii="Arial" w:hAnsi="Arial"/>
          <w:noProof/>
          <w:sz w:val="24"/>
          <w:szCs w:val="24"/>
          <w:lang w:val="en-US"/>
        </w:rPr>
        <w:t>(2), 203–220. http://doi.org/10.1016/S0022-4359(01)00041-0</w:t>
      </w:r>
    </w:p>
    <w:p w14:paraId="68CFB0E5" w14:textId="77777777" w:rsidR="004116AA" w:rsidRPr="004116AA" w:rsidRDefault="004116AA" w:rsidP="004116AA">
      <w:pPr>
        <w:widowControl w:val="0"/>
        <w:autoSpaceDE w:val="0"/>
        <w:autoSpaceDN w:val="0"/>
        <w:adjustRightInd w:val="0"/>
        <w:spacing w:line="240" w:lineRule="auto"/>
        <w:ind w:left="480" w:hanging="480"/>
        <w:rPr>
          <w:rFonts w:ascii="Arial" w:hAnsi="Arial"/>
          <w:noProof/>
          <w:sz w:val="24"/>
        </w:rPr>
      </w:pPr>
      <w:r w:rsidRPr="00BE071D">
        <w:rPr>
          <w:rFonts w:ascii="Arial" w:hAnsi="Arial"/>
          <w:noProof/>
          <w:sz w:val="24"/>
          <w:szCs w:val="24"/>
          <w:lang w:val="en-US"/>
        </w:rPr>
        <w:t xml:space="preserve">Vargo, S., &amp; Lusch, R. (2004). Evolving to a New Dominant Logic for Marketing. </w:t>
      </w:r>
      <w:r w:rsidRPr="004116AA">
        <w:rPr>
          <w:rFonts w:ascii="Arial" w:hAnsi="Arial"/>
          <w:i/>
          <w:iCs/>
          <w:noProof/>
          <w:sz w:val="24"/>
          <w:szCs w:val="24"/>
          <w:lang w:val="es-ES"/>
        </w:rPr>
        <w:t>Journal of Marketing</w:t>
      </w:r>
      <w:r w:rsidRPr="004116AA">
        <w:rPr>
          <w:rFonts w:ascii="Arial" w:hAnsi="Arial"/>
          <w:noProof/>
          <w:sz w:val="24"/>
          <w:szCs w:val="24"/>
          <w:lang w:val="es-ES"/>
        </w:rPr>
        <w:t xml:space="preserve">, </w:t>
      </w:r>
      <w:r w:rsidRPr="004116AA">
        <w:rPr>
          <w:rFonts w:ascii="Arial" w:hAnsi="Arial"/>
          <w:i/>
          <w:iCs/>
          <w:noProof/>
          <w:sz w:val="24"/>
          <w:szCs w:val="24"/>
          <w:lang w:val="es-ES"/>
        </w:rPr>
        <w:t>68</w:t>
      </w:r>
      <w:r w:rsidRPr="004116AA">
        <w:rPr>
          <w:rFonts w:ascii="Arial" w:hAnsi="Arial"/>
          <w:noProof/>
          <w:sz w:val="24"/>
          <w:szCs w:val="24"/>
          <w:lang w:val="es-ES"/>
        </w:rPr>
        <w:t>(1), 1–17. http://doi.org/10.1509/jmkg.68.1.1.24036</w:t>
      </w:r>
    </w:p>
    <w:p w14:paraId="01C46104" w14:textId="406DF91A" w:rsidR="0006401D" w:rsidRDefault="00774EB3" w:rsidP="004116AA">
      <w:pPr>
        <w:widowControl w:val="0"/>
        <w:autoSpaceDE w:val="0"/>
        <w:autoSpaceDN w:val="0"/>
        <w:adjustRightInd w:val="0"/>
        <w:spacing w:line="240" w:lineRule="auto"/>
        <w:ind w:left="480" w:hanging="480"/>
        <w:rPr>
          <w:rFonts w:ascii="Arial" w:hAnsi="Arial" w:cs="Arial"/>
          <w:color w:val="358ADB"/>
        </w:rPr>
      </w:pPr>
      <w:r w:rsidRPr="00D738E8">
        <w:rPr>
          <w:rFonts w:ascii="Arial" w:hAnsi="Arial" w:cs="Arial"/>
          <w:color w:val="358ADB"/>
        </w:rPr>
        <w:fldChar w:fldCharType="end"/>
      </w:r>
    </w:p>
    <w:p w14:paraId="65CA7925" w14:textId="77777777" w:rsidR="00D738E8" w:rsidRDefault="00D738E8" w:rsidP="00532EBC">
      <w:pPr>
        <w:rPr>
          <w:rFonts w:ascii="Arial" w:hAnsi="Arial" w:cs="Arial"/>
          <w:color w:val="70AD47" w:themeColor="accent6"/>
          <w:sz w:val="24"/>
          <w:szCs w:val="24"/>
        </w:rPr>
      </w:pPr>
    </w:p>
    <w:sectPr w:rsidR="00D738E8" w:rsidSect="0075056D">
      <w:headerReference w:type="even" r:id="rId9"/>
      <w:headerReference w:type="default" r:id="rId10"/>
      <w:footerReference w:type="default" r:id="rId11"/>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BA8B4" w15:done="0"/>
  <w15:commentEx w15:paraId="621F1930" w15:done="0"/>
  <w15:commentEx w15:paraId="45BE59F5" w15:done="0"/>
  <w15:commentEx w15:paraId="709D9E7B" w15:done="0"/>
  <w15:commentEx w15:paraId="239BC268" w15:done="0"/>
  <w15:commentEx w15:paraId="403B3A6B" w15:done="0"/>
  <w15:commentEx w15:paraId="35B63315" w15:done="0"/>
  <w15:commentEx w15:paraId="3F95AD84" w15:done="0"/>
  <w15:commentEx w15:paraId="67E6775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3712" w14:textId="77777777" w:rsidR="00203FCF" w:rsidRDefault="00203FCF" w:rsidP="0053590F">
      <w:pPr>
        <w:spacing w:after="0" w:line="240" w:lineRule="auto"/>
      </w:pPr>
      <w:r>
        <w:separator/>
      </w:r>
    </w:p>
  </w:endnote>
  <w:endnote w:type="continuationSeparator" w:id="0">
    <w:p w14:paraId="70438A2D" w14:textId="77777777" w:rsidR="00203FCF" w:rsidRDefault="00203FCF"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0883" w14:textId="77777777" w:rsidR="004116AA" w:rsidRDefault="004116AA" w:rsidP="0075056D">
    <w:pPr>
      <w:pStyle w:val="Piedepgina"/>
      <w:tabs>
        <w:tab w:val="clear" w:pos="4252"/>
        <w:tab w:val="clear" w:pos="8504"/>
        <w:tab w:val="left" w:pos="6420"/>
      </w:tabs>
    </w:pPr>
    <w:r w:rsidRPr="0075056D">
      <w:rPr>
        <w:noProof/>
        <w:lang w:val="es-ES" w:eastAsia="es-ES"/>
      </w:rPr>
      <w:drawing>
        <wp:anchor distT="0" distB="0" distL="114300" distR="114300" simplePos="0" relativeHeight="251663360" behindDoc="1" locked="0" layoutInCell="1" allowOverlap="1" wp14:anchorId="4E243CD4" wp14:editId="5F3E6828">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2854A" w14:textId="77777777" w:rsidR="00203FCF" w:rsidRDefault="00203FCF" w:rsidP="0053590F">
      <w:pPr>
        <w:spacing w:after="0" w:line="240" w:lineRule="auto"/>
      </w:pPr>
      <w:r>
        <w:separator/>
      </w:r>
    </w:p>
  </w:footnote>
  <w:footnote w:type="continuationSeparator" w:id="0">
    <w:p w14:paraId="48F1F3FB" w14:textId="77777777" w:rsidR="00203FCF" w:rsidRDefault="00203FCF" w:rsidP="005359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628B" w14:textId="77777777" w:rsidR="004116AA" w:rsidRPr="0053590F" w:rsidRDefault="004116AA" w:rsidP="00E31EAD">
    <w:pPr>
      <w:pStyle w:val="Encabezado"/>
      <w:jc w:val="right"/>
      <w:rPr>
        <w:rFonts w:ascii="Arial" w:hAnsi="Arial" w:cs="Arial"/>
        <w:sz w:val="16"/>
      </w:rPr>
    </w:pPr>
    <w:r w:rsidRPr="0053590F">
      <w:rPr>
        <w:rFonts w:ascii="Arial" w:hAnsi="Arial" w:cs="Arial"/>
        <w:noProof/>
        <w:sz w:val="20"/>
        <w:lang w:val="es-ES" w:eastAsia="es-ES"/>
      </w:rPr>
      <w:drawing>
        <wp:anchor distT="0" distB="0" distL="114300" distR="114300" simplePos="0" relativeHeight="251660288" behindDoc="1" locked="0" layoutInCell="1" allowOverlap="1" wp14:anchorId="30BC4772" wp14:editId="420DAA85">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37E228F1" w14:textId="77777777" w:rsidR="004116AA" w:rsidRDefault="004116AA">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8635" w14:textId="77777777" w:rsidR="004116AA" w:rsidRDefault="004116AA" w:rsidP="0053590F">
    <w:pPr>
      <w:pStyle w:val="Encabezado"/>
      <w:jc w:val="right"/>
      <w:rPr>
        <w:rFonts w:ascii="Arial" w:hAnsi="Arial" w:cs="Arial"/>
        <w:sz w:val="16"/>
      </w:rPr>
    </w:pPr>
    <w:r w:rsidRPr="0075056D">
      <w:rPr>
        <w:rFonts w:ascii="Arial" w:hAnsi="Arial" w:cs="Arial"/>
        <w:noProof/>
        <w:sz w:val="16"/>
        <w:lang w:val="es-ES" w:eastAsia="es-ES"/>
      </w:rPr>
      <w:drawing>
        <wp:anchor distT="0" distB="0" distL="114300" distR="114300" simplePos="0" relativeHeight="251662336" behindDoc="0" locked="0" layoutInCell="1" allowOverlap="1" wp14:anchorId="21537C72" wp14:editId="1AD9E9DF">
          <wp:simplePos x="0" y="0"/>
          <wp:positionH relativeFrom="column">
            <wp:posOffset>-114300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val="es-ES" w:eastAsia="es-ES"/>
      </w:rPr>
      <mc:AlternateContent>
        <mc:Choice Requires="wps">
          <w:drawing>
            <wp:anchor distT="0" distB="0" distL="114300" distR="114300" simplePos="0" relativeHeight="251661312" behindDoc="0" locked="0" layoutInCell="1" allowOverlap="1" wp14:anchorId="34EDDC4A" wp14:editId="2428D94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EA9E2" w14:textId="77777777" w:rsidR="004116AA" w:rsidRDefault="004116AA" w:rsidP="0075056D">
                          <w:pPr>
                            <w:jc w:val="right"/>
                          </w:pPr>
                        </w:p>
                        <w:p w14:paraId="31383DC3" w14:textId="77777777" w:rsidR="004116AA" w:rsidRPr="0075056D" w:rsidRDefault="004116AA"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EDDC4A" id="_x0000_t202" coordsize="21600,21600" o:spt="202" path="m,l,21600r21600,l21600,xe">
              <v:stroke joinstyle="miter"/>
              <v:path gradientshapeok="t" o:connecttype="rect"/>
            </v:shapetype>
            <v:shape id="Cuadro de texto 4" o:spid="_x0000_s1026"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782EA9E2" w14:textId="77777777" w:rsidR="004116AA" w:rsidRDefault="004116AA" w:rsidP="0075056D">
                    <w:pPr>
                      <w:jc w:val="right"/>
                    </w:pPr>
                  </w:p>
                  <w:p w14:paraId="31383DC3" w14:textId="77777777" w:rsidR="004116AA" w:rsidRPr="0075056D" w:rsidRDefault="004116AA" w:rsidP="00435EA7">
                    <w:pPr>
                      <w:jc w:val="center"/>
                      <w:rPr>
                        <w:color w:val="FFFFFF" w:themeColor="background1"/>
                      </w:rPr>
                    </w:pPr>
                    <w:r>
                      <w:rPr>
                        <w:color w:val="FFFFFF" w:themeColor="background1"/>
                      </w:rPr>
                      <w:t xml:space="preserve">                          </w:t>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Pr>
                        <w:color w:val="FFFFFF" w:themeColor="background1"/>
                      </w:rPr>
                      <w:tab/>
                    </w: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77169078" w14:textId="77777777" w:rsidR="004116AA" w:rsidRDefault="004116AA" w:rsidP="00E31EAD">
    <w:pPr>
      <w:pStyle w:val="Encabezado"/>
      <w:jc w:val="center"/>
      <w:rPr>
        <w:rFonts w:ascii="Arial" w:hAnsi="Arial" w:cs="Arial"/>
        <w:sz w:val="16"/>
      </w:rPr>
    </w:pPr>
    <w:r>
      <w:rPr>
        <w:rFonts w:ascii="Arial" w:hAnsi="Arial" w:cs="Arial"/>
        <w:sz w:val="16"/>
      </w:rPr>
      <w:br/>
    </w:r>
  </w:p>
  <w:p w14:paraId="37B1371E" w14:textId="77777777" w:rsidR="004116AA" w:rsidRDefault="004116AA" w:rsidP="00E31EAD">
    <w:pPr>
      <w:pStyle w:val="Encabezado"/>
      <w:rPr>
        <w:rFonts w:ascii="Arial" w:hAnsi="Arial" w:cs="Arial"/>
        <w:sz w:val="16"/>
      </w:rPr>
    </w:pPr>
  </w:p>
  <w:p w14:paraId="249C468D" w14:textId="77777777" w:rsidR="004116AA" w:rsidRPr="0053590F" w:rsidRDefault="004116AA" w:rsidP="00E31EAD">
    <w:pPr>
      <w:pStyle w:val="Encabezado"/>
      <w:rPr>
        <w:rFonts w:ascii="Arial" w:hAnsi="Arial" w:cs="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43570C6"/>
    <w:multiLevelType w:val="hybridMultilevel"/>
    <w:tmpl w:val="569AA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A714D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car Javier Robayo Pinzon">
    <w15:presenceInfo w15:providerId="AD" w15:userId="S-1-5-21-180359634-1687081131-142559655-64006"/>
  </w15:person>
  <w15:person w15:author="ROJAS BERRIO SANDRA PATRICIA">
    <w15:presenceInfo w15:providerId="AD" w15:userId="S-1-5-21-180359634-1687081131-142559655-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35E8E"/>
    <w:rsid w:val="0005162E"/>
    <w:rsid w:val="0006401D"/>
    <w:rsid w:val="0007531B"/>
    <w:rsid w:val="00076663"/>
    <w:rsid w:val="000875CB"/>
    <w:rsid w:val="00093A89"/>
    <w:rsid w:val="000A69D0"/>
    <w:rsid w:val="000C1C14"/>
    <w:rsid w:val="000C7A71"/>
    <w:rsid w:val="00104A7F"/>
    <w:rsid w:val="00104FFD"/>
    <w:rsid w:val="001070AB"/>
    <w:rsid w:val="0011324A"/>
    <w:rsid w:val="00120236"/>
    <w:rsid w:val="001229DF"/>
    <w:rsid w:val="001261A4"/>
    <w:rsid w:val="00151D28"/>
    <w:rsid w:val="001700BE"/>
    <w:rsid w:val="001823F8"/>
    <w:rsid w:val="001C4376"/>
    <w:rsid w:val="001D2DBF"/>
    <w:rsid w:val="00203FCF"/>
    <w:rsid w:val="002129A2"/>
    <w:rsid w:val="002130D5"/>
    <w:rsid w:val="002422A4"/>
    <w:rsid w:val="00265FB2"/>
    <w:rsid w:val="00271218"/>
    <w:rsid w:val="00287FEE"/>
    <w:rsid w:val="002A42E9"/>
    <w:rsid w:val="002E3CD4"/>
    <w:rsid w:val="002F017E"/>
    <w:rsid w:val="00305E85"/>
    <w:rsid w:val="0031531D"/>
    <w:rsid w:val="003347DF"/>
    <w:rsid w:val="0034019F"/>
    <w:rsid w:val="00365855"/>
    <w:rsid w:val="003B058A"/>
    <w:rsid w:val="004116AA"/>
    <w:rsid w:val="00431BA7"/>
    <w:rsid w:val="00435EA7"/>
    <w:rsid w:val="00441151"/>
    <w:rsid w:val="0046291B"/>
    <w:rsid w:val="004A6918"/>
    <w:rsid w:val="004D339E"/>
    <w:rsid w:val="004F6DCD"/>
    <w:rsid w:val="00510503"/>
    <w:rsid w:val="00510A13"/>
    <w:rsid w:val="005159CC"/>
    <w:rsid w:val="00532EBC"/>
    <w:rsid w:val="0053590F"/>
    <w:rsid w:val="00547E55"/>
    <w:rsid w:val="00553434"/>
    <w:rsid w:val="005C56F9"/>
    <w:rsid w:val="005D09FA"/>
    <w:rsid w:val="00604096"/>
    <w:rsid w:val="00620B6A"/>
    <w:rsid w:val="00627DD9"/>
    <w:rsid w:val="00633B33"/>
    <w:rsid w:val="00633D94"/>
    <w:rsid w:val="006452C3"/>
    <w:rsid w:val="00652CB8"/>
    <w:rsid w:val="00696778"/>
    <w:rsid w:val="006A37E8"/>
    <w:rsid w:val="006B60EE"/>
    <w:rsid w:val="006C16C8"/>
    <w:rsid w:val="006D2D97"/>
    <w:rsid w:val="006E43A9"/>
    <w:rsid w:val="00701F37"/>
    <w:rsid w:val="00717A71"/>
    <w:rsid w:val="00721DD0"/>
    <w:rsid w:val="007407B3"/>
    <w:rsid w:val="0075056D"/>
    <w:rsid w:val="00774EB3"/>
    <w:rsid w:val="0078234F"/>
    <w:rsid w:val="00794203"/>
    <w:rsid w:val="007E35F8"/>
    <w:rsid w:val="007F49A7"/>
    <w:rsid w:val="00803D83"/>
    <w:rsid w:val="00865EBE"/>
    <w:rsid w:val="00870450"/>
    <w:rsid w:val="008712CB"/>
    <w:rsid w:val="0087423F"/>
    <w:rsid w:val="008775C5"/>
    <w:rsid w:val="00882BB1"/>
    <w:rsid w:val="008B131F"/>
    <w:rsid w:val="008B24E5"/>
    <w:rsid w:val="008C7B08"/>
    <w:rsid w:val="008E457D"/>
    <w:rsid w:val="00977710"/>
    <w:rsid w:val="00985482"/>
    <w:rsid w:val="00996AA3"/>
    <w:rsid w:val="009A0CD2"/>
    <w:rsid w:val="009B6122"/>
    <w:rsid w:val="009B7F50"/>
    <w:rsid w:val="009E15E6"/>
    <w:rsid w:val="009E21C9"/>
    <w:rsid w:val="00A1438D"/>
    <w:rsid w:val="00A23F88"/>
    <w:rsid w:val="00A3661C"/>
    <w:rsid w:val="00A401AF"/>
    <w:rsid w:val="00A468F7"/>
    <w:rsid w:val="00A65315"/>
    <w:rsid w:val="00A8601F"/>
    <w:rsid w:val="00B0198C"/>
    <w:rsid w:val="00B07C74"/>
    <w:rsid w:val="00B1142C"/>
    <w:rsid w:val="00B32660"/>
    <w:rsid w:val="00B66EDB"/>
    <w:rsid w:val="00B7103B"/>
    <w:rsid w:val="00B85835"/>
    <w:rsid w:val="00BB7D43"/>
    <w:rsid w:val="00BC61CE"/>
    <w:rsid w:val="00BE071D"/>
    <w:rsid w:val="00BF30F7"/>
    <w:rsid w:val="00C144D6"/>
    <w:rsid w:val="00C145CF"/>
    <w:rsid w:val="00C36D3E"/>
    <w:rsid w:val="00C97646"/>
    <w:rsid w:val="00CD5185"/>
    <w:rsid w:val="00CD7E54"/>
    <w:rsid w:val="00CE1C36"/>
    <w:rsid w:val="00CF7657"/>
    <w:rsid w:val="00D03CDE"/>
    <w:rsid w:val="00D24E5A"/>
    <w:rsid w:val="00D506DD"/>
    <w:rsid w:val="00D656EA"/>
    <w:rsid w:val="00D738E8"/>
    <w:rsid w:val="00D8776B"/>
    <w:rsid w:val="00DA4E40"/>
    <w:rsid w:val="00DB55C7"/>
    <w:rsid w:val="00DC2584"/>
    <w:rsid w:val="00DD0807"/>
    <w:rsid w:val="00DE5145"/>
    <w:rsid w:val="00E073A6"/>
    <w:rsid w:val="00E31EAD"/>
    <w:rsid w:val="00E33173"/>
    <w:rsid w:val="00E3340C"/>
    <w:rsid w:val="00E36479"/>
    <w:rsid w:val="00E542C5"/>
    <w:rsid w:val="00E57DE2"/>
    <w:rsid w:val="00E77625"/>
    <w:rsid w:val="00E83EA5"/>
    <w:rsid w:val="00EA06C3"/>
    <w:rsid w:val="00EA7386"/>
    <w:rsid w:val="00F13C79"/>
    <w:rsid w:val="00F53BD8"/>
    <w:rsid w:val="00F823F4"/>
    <w:rsid w:val="00FA48A5"/>
    <w:rsid w:val="00FA4ADC"/>
    <w:rsid w:val="00FB46B6"/>
    <w:rsid w:val="00FB68EE"/>
    <w:rsid w:val="00FD5875"/>
    <w:rsid w:val="00FF6F3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E5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C1C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Asuntodelcomentario">
    <w:name w:val="annotation subject"/>
    <w:basedOn w:val="Textocomentario"/>
    <w:next w:val="Textocomentario"/>
    <w:link w:val="AsuntodelcomentarioCar"/>
    <w:uiPriority w:val="99"/>
    <w:semiHidden/>
    <w:unhideWhenUsed/>
    <w:rsid w:val="00B85835"/>
    <w:rPr>
      <w:b/>
      <w:bCs/>
    </w:rPr>
  </w:style>
  <w:style w:type="character" w:customStyle="1" w:styleId="AsuntodelcomentarioCar">
    <w:name w:val="Asunto del comentario Car"/>
    <w:basedOn w:val="TextocomentarioCar"/>
    <w:link w:val="Asuntodelcomentario"/>
    <w:uiPriority w:val="99"/>
    <w:semiHidden/>
    <w:rsid w:val="00B85835"/>
    <w:rPr>
      <w:b/>
      <w:bCs/>
      <w:sz w:val="20"/>
      <w:szCs w:val="20"/>
    </w:rPr>
  </w:style>
  <w:style w:type="table" w:styleId="Sombreadoclaro-nfasis1">
    <w:name w:val="Light Shading Accent 1"/>
    <w:basedOn w:val="Tablanormal"/>
    <w:uiPriority w:val="60"/>
    <w:rsid w:val="00E83EA5"/>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0C1C14"/>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59"/>
    <w:rsid w:val="000C1C14"/>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4203"/>
    <w:rPr>
      <w:color w:val="0563C1" w:themeColor="hyperlink"/>
      <w:u w:val="single"/>
    </w:rPr>
  </w:style>
  <w:style w:type="character" w:customStyle="1" w:styleId="querysrchtext">
    <w:name w:val="querysrchtext"/>
    <w:basedOn w:val="Fuentedeprrafopredeter"/>
    <w:rsid w:val="008775C5"/>
  </w:style>
  <w:style w:type="character" w:customStyle="1" w:styleId="queryoperator">
    <w:name w:val="queryoperator"/>
    <w:basedOn w:val="Fuentedeprrafopredeter"/>
    <w:rsid w:val="008775C5"/>
  </w:style>
  <w:style w:type="character" w:customStyle="1" w:styleId="querysrchterm">
    <w:name w:val="querysrchterm"/>
    <w:basedOn w:val="Fuentedeprrafopredeter"/>
    <w:rsid w:val="008775C5"/>
  </w:style>
  <w:style w:type="character" w:customStyle="1" w:styleId="apple-converted-space">
    <w:name w:val="apple-converted-space"/>
    <w:basedOn w:val="Fuentedeprrafopredeter"/>
    <w:rsid w:val="008775C5"/>
  </w:style>
  <w:style w:type="paragraph" w:styleId="Revisin">
    <w:name w:val="Revision"/>
    <w:hidden/>
    <w:uiPriority w:val="99"/>
    <w:semiHidden/>
    <w:rsid w:val="008C7B0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0C1C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paragraph" w:styleId="Asuntodelcomentario">
    <w:name w:val="annotation subject"/>
    <w:basedOn w:val="Textocomentario"/>
    <w:next w:val="Textocomentario"/>
    <w:link w:val="AsuntodelcomentarioCar"/>
    <w:uiPriority w:val="99"/>
    <w:semiHidden/>
    <w:unhideWhenUsed/>
    <w:rsid w:val="00B85835"/>
    <w:rPr>
      <w:b/>
      <w:bCs/>
    </w:rPr>
  </w:style>
  <w:style w:type="character" w:customStyle="1" w:styleId="AsuntodelcomentarioCar">
    <w:name w:val="Asunto del comentario Car"/>
    <w:basedOn w:val="TextocomentarioCar"/>
    <w:link w:val="Asuntodelcomentario"/>
    <w:uiPriority w:val="99"/>
    <w:semiHidden/>
    <w:rsid w:val="00B85835"/>
    <w:rPr>
      <w:b/>
      <w:bCs/>
      <w:sz w:val="20"/>
      <w:szCs w:val="20"/>
    </w:rPr>
  </w:style>
  <w:style w:type="table" w:styleId="Sombreadoclaro-nfasis1">
    <w:name w:val="Light Shading Accent 1"/>
    <w:basedOn w:val="Tablanormal"/>
    <w:uiPriority w:val="60"/>
    <w:rsid w:val="00E83EA5"/>
    <w:pPr>
      <w:spacing w:after="0" w:line="240" w:lineRule="auto"/>
    </w:pPr>
    <w:rPr>
      <w:color w:val="2E74B5" w:themeColor="accent1" w:themeShade="BF"/>
      <w:lang w:val="es-E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0C1C14"/>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59"/>
    <w:rsid w:val="000C1C14"/>
    <w:pPr>
      <w:spacing w:after="0" w:line="240" w:lineRule="auto"/>
    </w:pPr>
    <w:rPr>
      <w:rFonts w:eastAsiaTheme="minorEastAsia"/>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94203"/>
    <w:rPr>
      <w:color w:val="0563C1" w:themeColor="hyperlink"/>
      <w:u w:val="single"/>
    </w:rPr>
  </w:style>
  <w:style w:type="character" w:customStyle="1" w:styleId="querysrchtext">
    <w:name w:val="querysrchtext"/>
    <w:basedOn w:val="Fuentedeprrafopredeter"/>
    <w:rsid w:val="008775C5"/>
  </w:style>
  <w:style w:type="character" w:customStyle="1" w:styleId="queryoperator">
    <w:name w:val="queryoperator"/>
    <w:basedOn w:val="Fuentedeprrafopredeter"/>
    <w:rsid w:val="008775C5"/>
  </w:style>
  <w:style w:type="character" w:customStyle="1" w:styleId="querysrchterm">
    <w:name w:val="querysrchterm"/>
    <w:basedOn w:val="Fuentedeprrafopredeter"/>
    <w:rsid w:val="008775C5"/>
  </w:style>
  <w:style w:type="character" w:customStyle="1" w:styleId="apple-converted-space">
    <w:name w:val="apple-converted-space"/>
    <w:basedOn w:val="Fuentedeprrafopredeter"/>
    <w:rsid w:val="008775C5"/>
  </w:style>
  <w:style w:type="paragraph" w:styleId="Revisin">
    <w:name w:val="Revision"/>
    <w:hidden/>
    <w:uiPriority w:val="99"/>
    <w:semiHidden/>
    <w:rsid w:val="008C7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B57BB-F16A-3B4F-AC85-234CF794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13221</Words>
  <Characters>72720</Characters>
  <Application>Microsoft Macintosh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Claudia Nova</cp:lastModifiedBy>
  <cp:revision>2</cp:revision>
  <dcterms:created xsi:type="dcterms:W3CDTF">2016-11-29T03:59:00Z</dcterms:created>
  <dcterms:modified xsi:type="dcterms:W3CDTF">2016-11-29T03:59:00Z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cnovav@gmail.com@www.mendeley.com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